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18C" w:rsidRDefault="0060018C" w:rsidP="0060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bidi="hi-IN"/>
        </w:rPr>
      </w:pPr>
      <w:r w:rsidRPr="0060018C">
        <w:rPr>
          <w:rFonts w:ascii="Times New Roman" w:eastAsia="Times New Roman" w:hAnsi="Times New Roman" w:cs="Times New Roman"/>
          <w:sz w:val="24"/>
          <w:szCs w:val="24"/>
          <w:lang w:eastAsia="en-IN" w:bidi="hi-IN"/>
        </w:rPr>
        <w:t xml:space="preserve">"Is there any room for PPP in health? Or do we continue with the present strictly separate categories of Public or Private </w:t>
      </w:r>
      <w:r w:rsidR="00D65B7C" w:rsidRPr="0060018C">
        <w:rPr>
          <w:rFonts w:ascii="Times New Roman" w:eastAsia="Times New Roman" w:hAnsi="Times New Roman" w:cs="Times New Roman"/>
          <w:sz w:val="24"/>
          <w:szCs w:val="24"/>
          <w:lang w:eastAsia="en-IN" w:bidi="hi-IN"/>
        </w:rPr>
        <w:t>Providers</w:t>
      </w:r>
      <w:r w:rsidRPr="0060018C">
        <w:rPr>
          <w:rFonts w:ascii="Times New Roman" w:eastAsia="Times New Roman" w:hAnsi="Times New Roman" w:cs="Times New Roman"/>
          <w:sz w:val="24"/>
          <w:szCs w:val="24"/>
          <w:lang w:eastAsia="en-IN" w:bidi="hi-IN"/>
        </w:rPr>
        <w:t>?"</w:t>
      </w:r>
    </w:p>
    <w:p w:rsidR="00D65B7C" w:rsidRDefault="00D65B7C" w:rsidP="0060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IN" w:bidi="hi-IN"/>
        </w:rPr>
      </w:pPr>
    </w:p>
    <w:p w:rsidR="009B0473" w:rsidRPr="009B0473" w:rsidRDefault="009B0473" w:rsidP="009B0473">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en-IN" w:bidi="hi-IN"/>
        </w:rPr>
      </w:pPr>
      <w:r w:rsidRPr="009B0473">
        <w:rPr>
          <w:rFonts w:ascii="Times New Roman" w:eastAsia="Times New Roman" w:hAnsi="Times New Roman" w:cs="Times New Roman"/>
          <w:b/>
          <w:bCs/>
          <w:sz w:val="24"/>
          <w:szCs w:val="24"/>
          <w:lang w:eastAsia="en-IN" w:bidi="hi-IN"/>
        </w:rPr>
        <w:t>Public-Private Partnerships in Healthcare</w:t>
      </w:r>
    </w:p>
    <w:p w:rsidR="009B0473" w:rsidRPr="009B0473" w:rsidRDefault="009B0473" w:rsidP="009B047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rPr>
          <w:rFonts w:ascii="Times New Roman" w:eastAsia="Times New Roman" w:hAnsi="Times New Roman" w:cs="Times New Roman"/>
          <w:b/>
          <w:bCs/>
          <w:sz w:val="24"/>
          <w:szCs w:val="24"/>
          <w:lang w:eastAsia="en-IN" w:bidi="hi-IN"/>
        </w:rPr>
      </w:pPr>
    </w:p>
    <w:p w:rsidR="00675B95" w:rsidRDefault="00675B95"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fol</w:t>
      </w:r>
      <w:r w:rsidR="002C66B3">
        <w:rPr>
          <w:rFonts w:ascii="Times New Roman" w:eastAsia="Times New Roman" w:hAnsi="Times New Roman" w:cs="Times New Roman"/>
          <w:sz w:val="24"/>
          <w:szCs w:val="24"/>
          <w:lang w:eastAsia="en-IN" w:bidi="hi-IN"/>
        </w:rPr>
        <w:t>lowing sections try</w:t>
      </w:r>
      <w:r>
        <w:rPr>
          <w:rFonts w:ascii="Times New Roman" w:eastAsia="Times New Roman" w:hAnsi="Times New Roman" w:cs="Times New Roman"/>
          <w:sz w:val="24"/>
          <w:szCs w:val="24"/>
          <w:lang w:eastAsia="en-IN" w:bidi="hi-IN"/>
        </w:rPr>
        <w:t xml:space="preserve"> to answer the above question pertaining to the relationship between public and private providers in a public-private partnership</w:t>
      </w:r>
      <w:r w:rsidR="002C66B3">
        <w:rPr>
          <w:rFonts w:ascii="Times New Roman" w:eastAsia="Times New Roman" w:hAnsi="Times New Roman" w:cs="Times New Roman"/>
          <w:sz w:val="24"/>
          <w:szCs w:val="24"/>
          <w:lang w:eastAsia="en-IN" w:bidi="hi-IN"/>
        </w:rPr>
        <w:t xml:space="preserve"> (PPP). There have been many types of PPPs tried out in the country by the Union as well as state governments. In fact, virtually all types of relationships could be classified as PPPs. But since this question pertains more towards the providers and provision of healthcare services, this </w:t>
      </w:r>
      <w:r w:rsidR="00C24F5B">
        <w:rPr>
          <w:rFonts w:ascii="Times New Roman" w:eastAsia="Times New Roman" w:hAnsi="Times New Roman" w:cs="Times New Roman"/>
          <w:sz w:val="24"/>
          <w:szCs w:val="24"/>
          <w:lang w:eastAsia="en-IN" w:bidi="hi-IN"/>
        </w:rPr>
        <w:t>paper</w:t>
      </w:r>
      <w:r w:rsidR="002C66B3">
        <w:rPr>
          <w:rFonts w:ascii="Times New Roman" w:eastAsia="Times New Roman" w:hAnsi="Times New Roman" w:cs="Times New Roman"/>
          <w:sz w:val="24"/>
          <w:szCs w:val="24"/>
          <w:lang w:eastAsia="en-IN" w:bidi="hi-IN"/>
        </w:rPr>
        <w:t xml:space="preserve"> is going to restrict itself to the models of PPPs which are applicable to the healthcare service provision. It excludes such PPPs as ambulances (EMRI), </w:t>
      </w:r>
      <w:r w:rsidR="000A557F">
        <w:rPr>
          <w:rFonts w:ascii="Times New Roman" w:eastAsia="Times New Roman" w:hAnsi="Times New Roman" w:cs="Times New Roman"/>
          <w:sz w:val="24"/>
          <w:szCs w:val="24"/>
          <w:lang w:eastAsia="en-IN" w:bidi="hi-IN"/>
        </w:rPr>
        <w:t>trainings conducted by non-government organizations</w:t>
      </w:r>
      <w:r w:rsidR="00232482">
        <w:rPr>
          <w:rFonts w:ascii="Times New Roman" w:eastAsia="Times New Roman" w:hAnsi="Times New Roman" w:cs="Times New Roman"/>
          <w:sz w:val="24"/>
          <w:szCs w:val="24"/>
          <w:lang w:eastAsia="en-IN" w:bidi="hi-IN"/>
        </w:rPr>
        <w:t xml:space="preserve"> (NGO)</w:t>
      </w:r>
      <w:r w:rsidR="000A557F">
        <w:rPr>
          <w:rFonts w:ascii="Times New Roman" w:eastAsia="Times New Roman" w:hAnsi="Times New Roman" w:cs="Times New Roman"/>
          <w:sz w:val="24"/>
          <w:szCs w:val="24"/>
          <w:lang w:eastAsia="en-IN" w:bidi="hi-IN"/>
        </w:rPr>
        <w:t>, targeted interventions under HIV control programmes</w:t>
      </w:r>
      <w:r w:rsidR="00232482">
        <w:rPr>
          <w:rFonts w:ascii="Times New Roman" w:eastAsia="Times New Roman" w:hAnsi="Times New Roman" w:cs="Times New Roman"/>
          <w:sz w:val="24"/>
          <w:szCs w:val="24"/>
          <w:lang w:eastAsia="en-IN" w:bidi="hi-IN"/>
        </w:rPr>
        <w:t xml:space="preserve"> involving</w:t>
      </w:r>
      <w:r w:rsidR="000A557F">
        <w:rPr>
          <w:rFonts w:ascii="Times New Roman" w:eastAsia="Times New Roman" w:hAnsi="Times New Roman" w:cs="Times New Roman"/>
          <w:sz w:val="24"/>
          <w:szCs w:val="24"/>
          <w:lang w:eastAsia="en-IN" w:bidi="hi-IN"/>
        </w:rPr>
        <w:t>, Behaviour Change Communication</w:t>
      </w:r>
      <w:r w:rsidR="004B1DFD">
        <w:rPr>
          <w:rFonts w:ascii="Times New Roman" w:eastAsia="Times New Roman" w:hAnsi="Times New Roman" w:cs="Times New Roman"/>
          <w:sz w:val="24"/>
          <w:szCs w:val="24"/>
          <w:lang w:eastAsia="en-IN" w:bidi="hi-IN"/>
        </w:rPr>
        <w:t xml:space="preserve"> campaigns, District Health planning and so on. </w:t>
      </w:r>
    </w:p>
    <w:p w:rsidR="00675B95" w:rsidRDefault="00675B95"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p>
    <w:p w:rsidR="00D65B7C" w:rsidRDefault="009E687E"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There is enough empirical </w:t>
      </w:r>
      <w:r w:rsidR="003430CA">
        <w:rPr>
          <w:rFonts w:ascii="Times New Roman" w:eastAsia="Times New Roman" w:hAnsi="Times New Roman" w:cs="Times New Roman"/>
          <w:sz w:val="24"/>
          <w:szCs w:val="24"/>
          <w:lang w:eastAsia="en-IN" w:bidi="hi-IN"/>
        </w:rPr>
        <w:t xml:space="preserve">evidence in economic theory for justifying the leadership role </w:t>
      </w:r>
      <w:r w:rsidR="00891F68">
        <w:rPr>
          <w:rFonts w:ascii="Times New Roman" w:eastAsia="Times New Roman" w:hAnsi="Times New Roman" w:cs="Times New Roman"/>
          <w:sz w:val="24"/>
          <w:szCs w:val="24"/>
          <w:lang w:eastAsia="en-IN" w:bidi="hi-IN"/>
        </w:rPr>
        <w:t xml:space="preserve">for the </w:t>
      </w:r>
      <w:r w:rsidR="00897E1D">
        <w:rPr>
          <w:rFonts w:ascii="Times New Roman" w:eastAsia="Times New Roman" w:hAnsi="Times New Roman" w:cs="Times New Roman"/>
          <w:sz w:val="24"/>
          <w:szCs w:val="24"/>
          <w:lang w:eastAsia="en-IN" w:bidi="hi-IN"/>
        </w:rPr>
        <w:t>S</w:t>
      </w:r>
      <w:r w:rsidR="003430CA">
        <w:rPr>
          <w:rFonts w:ascii="Times New Roman" w:eastAsia="Times New Roman" w:hAnsi="Times New Roman" w:cs="Times New Roman"/>
          <w:sz w:val="24"/>
          <w:szCs w:val="24"/>
          <w:lang w:eastAsia="en-IN" w:bidi="hi-IN"/>
        </w:rPr>
        <w:t xml:space="preserve">tate </w:t>
      </w:r>
      <w:r w:rsidR="00891F68">
        <w:rPr>
          <w:rFonts w:ascii="Times New Roman" w:eastAsia="Times New Roman" w:hAnsi="Times New Roman" w:cs="Times New Roman"/>
          <w:sz w:val="24"/>
          <w:szCs w:val="24"/>
          <w:lang w:eastAsia="en-IN" w:bidi="hi-IN"/>
        </w:rPr>
        <w:t xml:space="preserve">in health care </w:t>
      </w:r>
      <w:r w:rsidR="003430CA">
        <w:rPr>
          <w:rFonts w:ascii="Times New Roman" w:eastAsia="Times New Roman" w:hAnsi="Times New Roman" w:cs="Times New Roman"/>
          <w:sz w:val="24"/>
          <w:szCs w:val="24"/>
          <w:lang w:eastAsia="en-IN" w:bidi="hi-IN"/>
        </w:rPr>
        <w:t xml:space="preserve">to ensure both equity and </w:t>
      </w:r>
      <w:proofErr w:type="gramStart"/>
      <w:r w:rsidR="003430CA">
        <w:rPr>
          <w:rFonts w:ascii="Times New Roman" w:eastAsia="Times New Roman" w:hAnsi="Times New Roman" w:cs="Times New Roman"/>
          <w:sz w:val="24"/>
          <w:szCs w:val="24"/>
          <w:lang w:eastAsia="en-IN" w:bidi="hi-IN"/>
        </w:rPr>
        <w:t>efficiency</w:t>
      </w:r>
      <w:r w:rsidR="0086789E">
        <w:rPr>
          <w:rFonts w:ascii="Times New Roman" w:eastAsia="Times New Roman" w:hAnsi="Times New Roman" w:cs="Times New Roman"/>
          <w:sz w:val="24"/>
          <w:szCs w:val="24"/>
          <w:lang w:eastAsia="en-IN" w:bidi="hi-IN"/>
        </w:rPr>
        <w:t xml:space="preserve"> </w:t>
      </w:r>
      <w:proofErr w:type="gramEnd"/>
      <w:r w:rsidR="0086789E">
        <w:rPr>
          <w:rStyle w:val="EndnoteReference"/>
          <w:rFonts w:ascii="Times New Roman" w:eastAsia="Times New Roman" w:hAnsi="Times New Roman" w:cs="Times New Roman"/>
          <w:sz w:val="24"/>
          <w:szCs w:val="24"/>
          <w:lang w:eastAsia="en-IN" w:bidi="hi-IN"/>
        </w:rPr>
        <w:endnoteReference w:id="1"/>
      </w:r>
      <w:r w:rsidR="003430CA">
        <w:rPr>
          <w:rFonts w:ascii="Times New Roman" w:eastAsia="Times New Roman" w:hAnsi="Times New Roman" w:cs="Times New Roman"/>
          <w:sz w:val="24"/>
          <w:szCs w:val="24"/>
          <w:lang w:eastAsia="en-IN" w:bidi="hi-IN"/>
        </w:rPr>
        <w:t xml:space="preserve">. </w:t>
      </w:r>
      <w:r w:rsidR="009E6230">
        <w:rPr>
          <w:rFonts w:ascii="Times New Roman" w:eastAsia="Times New Roman" w:hAnsi="Times New Roman" w:cs="Times New Roman"/>
          <w:sz w:val="24"/>
          <w:szCs w:val="24"/>
          <w:lang w:eastAsia="en-IN" w:bidi="hi-IN"/>
        </w:rPr>
        <w:t>If one were to move towards Universal Health Coverage with Public Health System leadership</w:t>
      </w:r>
      <w:r w:rsidR="006970E3">
        <w:rPr>
          <w:rFonts w:ascii="Times New Roman" w:eastAsia="Times New Roman" w:hAnsi="Times New Roman" w:cs="Times New Roman"/>
          <w:sz w:val="24"/>
          <w:szCs w:val="24"/>
          <w:lang w:eastAsia="en-IN" w:bidi="hi-IN"/>
        </w:rPr>
        <w:t>, then it has to be backed by adequate infrastructure and human resources</w:t>
      </w:r>
      <w:r w:rsidR="009E6230">
        <w:rPr>
          <w:rFonts w:ascii="Times New Roman" w:eastAsia="Times New Roman" w:hAnsi="Times New Roman" w:cs="Times New Roman"/>
          <w:sz w:val="24"/>
          <w:szCs w:val="24"/>
          <w:lang w:eastAsia="en-IN" w:bidi="hi-IN"/>
        </w:rPr>
        <w:t xml:space="preserve">. Public health system in India is characterised by shortfalls in both infrastructure and health workforce. There are going to be serious challenges to meet the infrastructure and </w:t>
      </w:r>
      <w:r w:rsidR="00A04C9A">
        <w:rPr>
          <w:rFonts w:ascii="Times New Roman" w:eastAsia="Times New Roman" w:hAnsi="Times New Roman" w:cs="Times New Roman"/>
          <w:sz w:val="24"/>
          <w:szCs w:val="24"/>
          <w:lang w:eastAsia="en-IN" w:bidi="hi-IN"/>
        </w:rPr>
        <w:t xml:space="preserve">Health </w:t>
      </w:r>
      <w:r w:rsidR="009E6230">
        <w:rPr>
          <w:rFonts w:ascii="Times New Roman" w:eastAsia="Times New Roman" w:hAnsi="Times New Roman" w:cs="Times New Roman"/>
          <w:sz w:val="24"/>
          <w:szCs w:val="24"/>
          <w:lang w:eastAsia="en-IN" w:bidi="hi-IN"/>
        </w:rPr>
        <w:t>Human Resources needs</w:t>
      </w:r>
      <w:r w:rsidR="003D5E59">
        <w:rPr>
          <w:rFonts w:ascii="Times New Roman" w:eastAsia="Times New Roman" w:hAnsi="Times New Roman" w:cs="Times New Roman"/>
          <w:sz w:val="24"/>
          <w:szCs w:val="24"/>
          <w:lang w:eastAsia="en-IN" w:bidi="hi-IN"/>
        </w:rPr>
        <w:t xml:space="preserve"> for</w:t>
      </w:r>
      <w:r w:rsidR="00D7294F">
        <w:rPr>
          <w:rFonts w:ascii="Times New Roman" w:eastAsia="Times New Roman" w:hAnsi="Times New Roman" w:cs="Times New Roman"/>
          <w:sz w:val="24"/>
          <w:szCs w:val="24"/>
          <w:lang w:eastAsia="en-IN" w:bidi="hi-IN"/>
        </w:rPr>
        <w:t xml:space="preserve"> Universal Health Coverage goal</w:t>
      </w:r>
      <w:r w:rsidR="009E6230">
        <w:rPr>
          <w:rFonts w:ascii="Times New Roman" w:eastAsia="Times New Roman" w:hAnsi="Times New Roman" w:cs="Times New Roman"/>
          <w:sz w:val="24"/>
          <w:szCs w:val="24"/>
          <w:lang w:eastAsia="en-IN" w:bidi="hi-IN"/>
        </w:rPr>
        <w:t>.  On the other hand</w:t>
      </w:r>
      <w:r w:rsidR="00D7294F">
        <w:rPr>
          <w:rFonts w:ascii="Times New Roman" w:eastAsia="Times New Roman" w:hAnsi="Times New Roman" w:cs="Times New Roman"/>
          <w:sz w:val="24"/>
          <w:szCs w:val="24"/>
          <w:lang w:eastAsia="en-IN" w:bidi="hi-IN"/>
        </w:rPr>
        <w:t xml:space="preserve"> it is well documented that I</w:t>
      </w:r>
      <w:r w:rsidR="009E6230">
        <w:rPr>
          <w:rFonts w:ascii="Times New Roman" w:eastAsia="Times New Roman" w:hAnsi="Times New Roman" w:cs="Times New Roman"/>
          <w:sz w:val="24"/>
          <w:szCs w:val="24"/>
          <w:lang w:eastAsia="en-IN" w:bidi="hi-IN"/>
        </w:rPr>
        <w:t>ndia</w:t>
      </w:r>
      <w:r w:rsidR="00891F68">
        <w:rPr>
          <w:rFonts w:ascii="Times New Roman" w:eastAsia="Times New Roman" w:hAnsi="Times New Roman" w:cs="Times New Roman"/>
          <w:sz w:val="24"/>
          <w:szCs w:val="24"/>
          <w:lang w:eastAsia="en-IN" w:bidi="hi-IN"/>
        </w:rPr>
        <w:t>n health system is dominated</w:t>
      </w:r>
      <w:r w:rsidR="009E6230">
        <w:rPr>
          <w:rFonts w:ascii="Times New Roman" w:eastAsia="Times New Roman" w:hAnsi="Times New Roman" w:cs="Times New Roman"/>
          <w:sz w:val="24"/>
          <w:szCs w:val="24"/>
          <w:lang w:eastAsia="en-IN" w:bidi="hi-IN"/>
        </w:rPr>
        <w:t xml:space="preserve"> by a large unregulated private sector</w:t>
      </w:r>
      <w:r w:rsidR="006F1A91">
        <w:rPr>
          <w:rFonts w:ascii="Times New Roman" w:eastAsia="Times New Roman" w:hAnsi="Times New Roman" w:cs="Times New Roman"/>
          <w:sz w:val="24"/>
          <w:szCs w:val="24"/>
          <w:lang w:eastAsia="en-IN" w:bidi="hi-IN"/>
        </w:rPr>
        <w:t xml:space="preserve">, concentrated in urban settings, </w:t>
      </w:r>
      <w:r w:rsidR="00D7294F">
        <w:rPr>
          <w:rFonts w:ascii="Times New Roman" w:eastAsia="Times New Roman" w:hAnsi="Times New Roman" w:cs="Times New Roman"/>
          <w:sz w:val="24"/>
          <w:szCs w:val="24"/>
          <w:lang w:eastAsia="en-IN" w:bidi="hi-IN"/>
        </w:rPr>
        <w:t xml:space="preserve">where more </w:t>
      </w:r>
      <w:proofErr w:type="gramStart"/>
      <w:r w:rsidR="00D7294F">
        <w:rPr>
          <w:rFonts w:ascii="Times New Roman" w:eastAsia="Times New Roman" w:hAnsi="Times New Roman" w:cs="Times New Roman"/>
          <w:sz w:val="24"/>
          <w:szCs w:val="24"/>
          <w:lang w:eastAsia="en-IN" w:bidi="hi-IN"/>
        </w:rPr>
        <w:t>than</w:t>
      </w:r>
      <w:proofErr w:type="gramEnd"/>
      <w:r w:rsidR="00D7294F">
        <w:rPr>
          <w:rFonts w:ascii="Times New Roman" w:eastAsia="Times New Roman" w:hAnsi="Times New Roman" w:cs="Times New Roman"/>
          <w:sz w:val="24"/>
          <w:szCs w:val="24"/>
          <w:lang w:eastAsia="en-IN" w:bidi="hi-IN"/>
        </w:rPr>
        <w:t xml:space="preserve"> </w:t>
      </w:r>
      <w:r w:rsidR="009E6230">
        <w:rPr>
          <w:rFonts w:ascii="Times New Roman" w:eastAsia="Times New Roman" w:hAnsi="Times New Roman" w:cs="Times New Roman"/>
          <w:sz w:val="24"/>
          <w:szCs w:val="24"/>
          <w:lang w:eastAsia="en-IN" w:bidi="hi-IN"/>
        </w:rPr>
        <w:t xml:space="preserve">80% of health care is provided by the private facilities </w:t>
      </w:r>
      <w:r w:rsidR="00D7294F">
        <w:rPr>
          <w:rFonts w:ascii="Times New Roman" w:eastAsia="Times New Roman" w:hAnsi="Times New Roman" w:cs="Times New Roman"/>
          <w:sz w:val="24"/>
          <w:szCs w:val="24"/>
          <w:lang w:eastAsia="en-IN" w:bidi="hi-IN"/>
        </w:rPr>
        <w:t>with huge inequitable out-of-pocket expenditures</w:t>
      </w:r>
      <w:r w:rsidR="00B80960">
        <w:rPr>
          <w:rFonts w:ascii="Times New Roman" w:eastAsia="Times New Roman" w:hAnsi="Times New Roman" w:cs="Times New Roman"/>
          <w:sz w:val="24"/>
          <w:szCs w:val="24"/>
          <w:lang w:eastAsia="en-IN" w:bidi="hi-IN"/>
        </w:rPr>
        <w:t>.</w:t>
      </w:r>
      <w:r w:rsidR="002A0DD5">
        <w:rPr>
          <w:rFonts w:ascii="Times New Roman" w:eastAsia="Times New Roman" w:hAnsi="Times New Roman" w:cs="Times New Roman"/>
          <w:sz w:val="24"/>
          <w:szCs w:val="24"/>
          <w:lang w:eastAsia="en-IN" w:bidi="hi-IN"/>
        </w:rPr>
        <w:t xml:space="preserve"> </w:t>
      </w:r>
      <w:r w:rsidR="00B80960">
        <w:rPr>
          <w:rFonts w:ascii="Times New Roman" w:eastAsia="Times New Roman" w:hAnsi="Times New Roman" w:cs="Times New Roman"/>
          <w:sz w:val="24"/>
          <w:szCs w:val="24"/>
          <w:lang w:eastAsia="en-IN" w:bidi="hi-IN"/>
        </w:rPr>
        <w:t xml:space="preserve">Given this situation, the two options available </w:t>
      </w:r>
      <w:r w:rsidR="006F1A91">
        <w:rPr>
          <w:rFonts w:ascii="Times New Roman" w:eastAsia="Times New Roman" w:hAnsi="Times New Roman" w:cs="Times New Roman"/>
          <w:sz w:val="24"/>
          <w:szCs w:val="24"/>
          <w:lang w:eastAsia="en-IN" w:bidi="hi-IN"/>
        </w:rPr>
        <w:t>is either to expand the infrastructure and human resources rapidly in the public health sector both in the rural an</w:t>
      </w:r>
      <w:r w:rsidR="002A0DD5">
        <w:rPr>
          <w:rFonts w:ascii="Times New Roman" w:eastAsia="Times New Roman" w:hAnsi="Times New Roman" w:cs="Times New Roman"/>
          <w:sz w:val="24"/>
          <w:szCs w:val="24"/>
          <w:lang w:eastAsia="en-IN" w:bidi="hi-IN"/>
        </w:rPr>
        <w:t>d urban sectors or relocate some of the services by ‘contracting-in’</w:t>
      </w:r>
      <w:r w:rsidR="007A3826">
        <w:rPr>
          <w:rFonts w:ascii="Times New Roman" w:eastAsia="Times New Roman" w:hAnsi="Times New Roman" w:cs="Times New Roman"/>
          <w:sz w:val="24"/>
          <w:szCs w:val="24"/>
          <w:lang w:eastAsia="en-IN" w:bidi="hi-IN"/>
        </w:rPr>
        <w:t xml:space="preserve"> the private sector, for the curative services and in particular urban settings</w:t>
      </w:r>
      <w:r w:rsidR="006B626F">
        <w:rPr>
          <w:rFonts w:ascii="Times New Roman" w:eastAsia="Times New Roman" w:hAnsi="Times New Roman" w:cs="Times New Roman"/>
          <w:sz w:val="24"/>
          <w:szCs w:val="24"/>
          <w:lang w:eastAsia="en-IN" w:bidi="hi-IN"/>
        </w:rPr>
        <w:t xml:space="preserve"> </w:t>
      </w:r>
      <w:r w:rsidR="006B626F">
        <w:rPr>
          <w:rStyle w:val="EndnoteReference"/>
          <w:rFonts w:ascii="Times New Roman" w:eastAsia="Times New Roman" w:hAnsi="Times New Roman" w:cs="Times New Roman"/>
          <w:sz w:val="24"/>
          <w:szCs w:val="24"/>
          <w:lang w:eastAsia="en-IN" w:bidi="hi-IN"/>
        </w:rPr>
        <w:endnoteReference w:id="2"/>
      </w:r>
      <w:r w:rsidR="007A3826">
        <w:rPr>
          <w:rFonts w:ascii="Times New Roman" w:eastAsia="Times New Roman" w:hAnsi="Times New Roman" w:cs="Times New Roman"/>
          <w:sz w:val="24"/>
          <w:szCs w:val="24"/>
          <w:lang w:eastAsia="en-IN" w:bidi="hi-IN"/>
        </w:rPr>
        <w:t xml:space="preserve">. </w:t>
      </w:r>
      <w:r w:rsidR="00185AF5">
        <w:rPr>
          <w:rFonts w:ascii="Times New Roman" w:eastAsia="Times New Roman" w:hAnsi="Times New Roman" w:cs="Times New Roman"/>
          <w:sz w:val="24"/>
          <w:szCs w:val="24"/>
          <w:lang w:eastAsia="en-IN" w:bidi="hi-IN"/>
        </w:rPr>
        <w:t xml:space="preserve">In other words, the policy makers have to decide whether to </w:t>
      </w:r>
      <w:r w:rsidR="007A3826">
        <w:rPr>
          <w:rFonts w:ascii="Times New Roman" w:eastAsia="Times New Roman" w:hAnsi="Times New Roman" w:cs="Times New Roman"/>
          <w:sz w:val="24"/>
          <w:szCs w:val="24"/>
          <w:lang w:eastAsia="en-IN" w:bidi="hi-IN"/>
        </w:rPr>
        <w:t xml:space="preserve">“make” or “buy” </w:t>
      </w:r>
      <w:r w:rsidR="00185AF5">
        <w:rPr>
          <w:rFonts w:ascii="Times New Roman" w:eastAsia="Times New Roman" w:hAnsi="Times New Roman" w:cs="Times New Roman"/>
          <w:sz w:val="24"/>
          <w:szCs w:val="24"/>
          <w:lang w:eastAsia="en-IN" w:bidi="hi-IN"/>
        </w:rPr>
        <w:t xml:space="preserve">healthcare as it is known in international parlance. </w:t>
      </w:r>
    </w:p>
    <w:p w:rsidR="00FD188C" w:rsidRDefault="00FD188C"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p>
    <w:p w:rsidR="009B0473" w:rsidRDefault="009B0473"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t xml:space="preserve">2.0 </w:t>
      </w:r>
      <w:r>
        <w:rPr>
          <w:rFonts w:ascii="Times New Roman" w:eastAsia="Times New Roman" w:hAnsi="Times New Roman" w:cs="Times New Roman"/>
          <w:b/>
          <w:bCs/>
          <w:sz w:val="24"/>
          <w:szCs w:val="24"/>
          <w:lang w:eastAsia="en-IN" w:bidi="hi-IN"/>
        </w:rPr>
        <w:tab/>
        <w:t>“</w:t>
      </w:r>
      <w:r w:rsidRPr="009B0473">
        <w:rPr>
          <w:rFonts w:ascii="Times New Roman" w:eastAsia="Times New Roman" w:hAnsi="Times New Roman" w:cs="Times New Roman"/>
          <w:b/>
          <w:bCs/>
          <w:sz w:val="24"/>
          <w:szCs w:val="24"/>
          <w:lang w:eastAsia="en-IN" w:bidi="hi-IN"/>
        </w:rPr>
        <w:t>Make</w:t>
      </w:r>
      <w:r>
        <w:rPr>
          <w:rFonts w:ascii="Times New Roman" w:eastAsia="Times New Roman" w:hAnsi="Times New Roman" w:cs="Times New Roman"/>
          <w:b/>
          <w:bCs/>
          <w:sz w:val="24"/>
          <w:szCs w:val="24"/>
          <w:lang w:eastAsia="en-IN" w:bidi="hi-IN"/>
        </w:rPr>
        <w:t>”</w:t>
      </w:r>
      <w:r w:rsidRPr="009B0473">
        <w:rPr>
          <w:rFonts w:ascii="Times New Roman" w:eastAsia="Times New Roman" w:hAnsi="Times New Roman" w:cs="Times New Roman"/>
          <w:b/>
          <w:bCs/>
          <w:sz w:val="24"/>
          <w:szCs w:val="24"/>
          <w:lang w:eastAsia="en-IN" w:bidi="hi-IN"/>
        </w:rPr>
        <w:t xml:space="preserve"> or </w:t>
      </w:r>
      <w:r>
        <w:rPr>
          <w:rFonts w:ascii="Times New Roman" w:eastAsia="Times New Roman" w:hAnsi="Times New Roman" w:cs="Times New Roman"/>
          <w:b/>
          <w:bCs/>
          <w:sz w:val="24"/>
          <w:szCs w:val="24"/>
          <w:lang w:eastAsia="en-IN" w:bidi="hi-IN"/>
        </w:rPr>
        <w:t>“</w:t>
      </w:r>
      <w:r w:rsidRPr="009B0473">
        <w:rPr>
          <w:rFonts w:ascii="Times New Roman" w:eastAsia="Times New Roman" w:hAnsi="Times New Roman" w:cs="Times New Roman"/>
          <w:b/>
          <w:bCs/>
          <w:sz w:val="24"/>
          <w:szCs w:val="24"/>
          <w:lang w:eastAsia="en-IN" w:bidi="hi-IN"/>
        </w:rPr>
        <w:t>Buy</w:t>
      </w:r>
      <w:r>
        <w:rPr>
          <w:rFonts w:ascii="Times New Roman" w:eastAsia="Times New Roman" w:hAnsi="Times New Roman" w:cs="Times New Roman"/>
          <w:b/>
          <w:bCs/>
          <w:sz w:val="24"/>
          <w:szCs w:val="24"/>
          <w:lang w:eastAsia="en-IN" w:bidi="hi-IN"/>
        </w:rPr>
        <w:t>”</w:t>
      </w:r>
      <w:r w:rsidRPr="009B0473">
        <w:rPr>
          <w:rFonts w:ascii="Times New Roman" w:eastAsia="Times New Roman" w:hAnsi="Times New Roman" w:cs="Times New Roman"/>
          <w:b/>
          <w:bCs/>
          <w:sz w:val="24"/>
          <w:szCs w:val="24"/>
          <w:lang w:eastAsia="en-IN" w:bidi="hi-IN"/>
        </w:rPr>
        <w:t xml:space="preserve"> decisions in Healthcare</w:t>
      </w:r>
    </w:p>
    <w:p w:rsidR="009B0473" w:rsidRPr="009B0473" w:rsidRDefault="009B0473"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en-IN" w:bidi="hi-IN"/>
        </w:rPr>
      </w:pPr>
    </w:p>
    <w:p w:rsidR="00232482" w:rsidRDefault="00FD188C"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decision to “make” or “buy” is dependent on two major factors</w:t>
      </w:r>
      <w:r w:rsidR="009F3167">
        <w:rPr>
          <w:rFonts w:ascii="Times New Roman" w:eastAsia="Times New Roman" w:hAnsi="Times New Roman" w:cs="Times New Roman"/>
          <w:sz w:val="24"/>
          <w:szCs w:val="24"/>
          <w:lang w:eastAsia="en-IN" w:bidi="hi-IN"/>
        </w:rPr>
        <w:t xml:space="preserve"> namely, </w:t>
      </w:r>
      <w:r w:rsidR="006B626F">
        <w:rPr>
          <w:rFonts w:ascii="Times New Roman" w:eastAsia="Times New Roman" w:hAnsi="Times New Roman" w:cs="Times New Roman"/>
          <w:sz w:val="24"/>
          <w:szCs w:val="24"/>
          <w:lang w:eastAsia="en-IN" w:bidi="hi-IN"/>
        </w:rPr>
        <w:t>‘</w:t>
      </w:r>
      <w:r w:rsidR="009F3167">
        <w:rPr>
          <w:rFonts w:ascii="Times New Roman" w:eastAsia="Times New Roman" w:hAnsi="Times New Roman" w:cs="Times New Roman"/>
          <w:sz w:val="24"/>
          <w:szCs w:val="24"/>
          <w:lang w:eastAsia="en-IN" w:bidi="hi-IN"/>
        </w:rPr>
        <w:t>contestability</w:t>
      </w:r>
      <w:r w:rsidR="006B626F">
        <w:rPr>
          <w:rFonts w:ascii="Times New Roman" w:eastAsia="Times New Roman" w:hAnsi="Times New Roman" w:cs="Times New Roman"/>
          <w:sz w:val="24"/>
          <w:szCs w:val="24"/>
          <w:lang w:eastAsia="en-IN" w:bidi="hi-IN"/>
        </w:rPr>
        <w:t>’</w:t>
      </w:r>
      <w:r w:rsidR="009F3167">
        <w:rPr>
          <w:rFonts w:ascii="Times New Roman" w:eastAsia="Times New Roman" w:hAnsi="Times New Roman" w:cs="Times New Roman"/>
          <w:sz w:val="24"/>
          <w:szCs w:val="24"/>
          <w:lang w:eastAsia="en-IN" w:bidi="hi-IN"/>
        </w:rPr>
        <w:t xml:space="preserve"> and </w:t>
      </w:r>
      <w:r w:rsidR="006B626F">
        <w:rPr>
          <w:rFonts w:ascii="Times New Roman" w:eastAsia="Times New Roman" w:hAnsi="Times New Roman" w:cs="Times New Roman"/>
          <w:sz w:val="24"/>
          <w:szCs w:val="24"/>
          <w:lang w:eastAsia="en-IN" w:bidi="hi-IN"/>
        </w:rPr>
        <w:t>‘</w:t>
      </w:r>
      <w:r w:rsidR="009F3167">
        <w:rPr>
          <w:rFonts w:ascii="Times New Roman" w:eastAsia="Times New Roman" w:hAnsi="Times New Roman" w:cs="Times New Roman"/>
          <w:sz w:val="24"/>
          <w:szCs w:val="24"/>
          <w:lang w:eastAsia="en-IN" w:bidi="hi-IN"/>
        </w:rPr>
        <w:t>measurability</w:t>
      </w:r>
      <w:r w:rsidR="006B626F">
        <w:rPr>
          <w:rFonts w:ascii="Times New Roman" w:eastAsia="Times New Roman" w:hAnsi="Times New Roman" w:cs="Times New Roman"/>
          <w:sz w:val="24"/>
          <w:szCs w:val="24"/>
          <w:lang w:eastAsia="en-IN" w:bidi="hi-IN"/>
        </w:rPr>
        <w:t>’</w:t>
      </w:r>
      <w:r w:rsidR="009F3167">
        <w:rPr>
          <w:rFonts w:ascii="Times New Roman" w:eastAsia="Times New Roman" w:hAnsi="Times New Roman" w:cs="Times New Roman"/>
          <w:sz w:val="24"/>
          <w:szCs w:val="24"/>
          <w:lang w:eastAsia="en-IN" w:bidi="hi-IN"/>
        </w:rPr>
        <w:t xml:space="preserve">. </w:t>
      </w:r>
      <w:r w:rsidR="006B626F">
        <w:rPr>
          <w:rFonts w:ascii="Times New Roman" w:eastAsia="Times New Roman" w:hAnsi="Times New Roman" w:cs="Times New Roman"/>
          <w:sz w:val="24"/>
          <w:szCs w:val="24"/>
          <w:lang w:eastAsia="en-IN" w:bidi="hi-IN"/>
        </w:rPr>
        <w:t xml:space="preserve">Contestability refers to a competitor being able to enter or leave the market easily without substantial losses while having equal access to technology (low asset specificity). Measurability </w:t>
      </w:r>
      <w:r w:rsidR="000E5251">
        <w:rPr>
          <w:rFonts w:ascii="Times New Roman" w:eastAsia="Times New Roman" w:hAnsi="Times New Roman" w:cs="Times New Roman"/>
          <w:sz w:val="24"/>
          <w:szCs w:val="24"/>
          <w:lang w:eastAsia="en-IN" w:bidi="hi-IN"/>
        </w:rPr>
        <w:t>refers to the ability with which inputs, outputs, processes and outcomes of the goods or services can be measured precis</w:t>
      </w:r>
      <w:r w:rsidR="00275ED5">
        <w:rPr>
          <w:rFonts w:ascii="Times New Roman" w:eastAsia="Times New Roman" w:hAnsi="Times New Roman" w:cs="Times New Roman"/>
          <w:sz w:val="24"/>
          <w:szCs w:val="24"/>
          <w:lang w:eastAsia="en-IN" w:bidi="hi-IN"/>
        </w:rPr>
        <w:t xml:space="preserve">ely. </w:t>
      </w:r>
      <w:r w:rsidR="00B61B1E">
        <w:rPr>
          <w:rFonts w:ascii="Times New Roman" w:eastAsia="Times New Roman" w:hAnsi="Times New Roman" w:cs="Times New Roman"/>
          <w:sz w:val="24"/>
          <w:szCs w:val="24"/>
          <w:lang w:eastAsia="en-IN" w:bidi="hi-IN"/>
        </w:rPr>
        <w:t>Figure 1</w:t>
      </w:r>
      <w:r w:rsidR="00275ED5">
        <w:rPr>
          <w:rFonts w:ascii="Times New Roman" w:eastAsia="Times New Roman" w:hAnsi="Times New Roman" w:cs="Times New Roman"/>
          <w:sz w:val="24"/>
          <w:szCs w:val="24"/>
          <w:lang w:eastAsia="en-IN" w:bidi="hi-IN"/>
        </w:rPr>
        <w:t xml:space="preserve"> below shows a typical measurability and contestability Matrix for health sector</w:t>
      </w:r>
      <w:r w:rsidR="007076D9">
        <w:rPr>
          <w:rFonts w:ascii="Times New Roman" w:eastAsia="Times New Roman" w:hAnsi="Times New Roman" w:cs="Times New Roman"/>
          <w:sz w:val="24"/>
          <w:szCs w:val="24"/>
          <w:lang w:eastAsia="en-IN" w:bidi="hi-IN"/>
        </w:rPr>
        <w:t xml:space="preserve"> combining both the input and output markets (factor and product markets)</w:t>
      </w:r>
      <w:r w:rsidR="00275ED5">
        <w:rPr>
          <w:rFonts w:ascii="Times New Roman" w:eastAsia="Times New Roman" w:hAnsi="Times New Roman" w:cs="Times New Roman"/>
          <w:sz w:val="24"/>
          <w:szCs w:val="24"/>
          <w:lang w:eastAsia="en-IN" w:bidi="hi-IN"/>
        </w:rPr>
        <w:t>. As can be seen from the matrix, se</w:t>
      </w:r>
      <w:r w:rsidR="007076D9">
        <w:rPr>
          <w:rFonts w:ascii="Times New Roman" w:eastAsia="Times New Roman" w:hAnsi="Times New Roman" w:cs="Times New Roman"/>
          <w:sz w:val="24"/>
          <w:szCs w:val="24"/>
          <w:lang w:eastAsia="en-IN" w:bidi="hi-IN"/>
        </w:rPr>
        <w:t xml:space="preserve">rvices such as consumables, unskilled labour supply (Type I) are both highly contestable and </w:t>
      </w:r>
      <w:r w:rsidR="00F53539">
        <w:rPr>
          <w:rFonts w:ascii="Times New Roman" w:eastAsia="Times New Roman" w:hAnsi="Times New Roman" w:cs="Times New Roman"/>
          <w:sz w:val="24"/>
          <w:szCs w:val="24"/>
          <w:lang w:eastAsia="en-IN" w:bidi="hi-IN"/>
        </w:rPr>
        <w:t>high</w:t>
      </w:r>
      <w:r w:rsidR="007076D9">
        <w:rPr>
          <w:rFonts w:ascii="Times New Roman" w:eastAsia="Times New Roman" w:hAnsi="Times New Roman" w:cs="Times New Roman"/>
          <w:sz w:val="24"/>
          <w:szCs w:val="24"/>
          <w:lang w:eastAsia="en-IN" w:bidi="hi-IN"/>
        </w:rPr>
        <w:t>ly measurable.</w:t>
      </w:r>
      <w:r w:rsidR="00D60936">
        <w:rPr>
          <w:rFonts w:ascii="Times New Roman" w:eastAsia="Times New Roman" w:hAnsi="Times New Roman" w:cs="Times New Roman"/>
          <w:sz w:val="24"/>
          <w:szCs w:val="24"/>
          <w:lang w:eastAsia="en-IN" w:bidi="hi-IN"/>
        </w:rPr>
        <w:t xml:space="preserve"> As we move down the measurability matrix, non-clinical services like </w:t>
      </w:r>
      <w:r w:rsidR="007076D9">
        <w:rPr>
          <w:rFonts w:ascii="Times New Roman" w:eastAsia="Times New Roman" w:hAnsi="Times New Roman" w:cs="Times New Roman"/>
          <w:sz w:val="24"/>
          <w:szCs w:val="24"/>
          <w:lang w:eastAsia="en-IN" w:bidi="hi-IN"/>
        </w:rPr>
        <w:t>cleaning, linen, security are highly contestable</w:t>
      </w:r>
      <w:r w:rsidR="00897E1D">
        <w:rPr>
          <w:rFonts w:ascii="Times New Roman" w:eastAsia="Times New Roman" w:hAnsi="Times New Roman" w:cs="Times New Roman"/>
          <w:sz w:val="24"/>
          <w:szCs w:val="24"/>
          <w:lang w:eastAsia="en-IN" w:bidi="hi-IN"/>
        </w:rPr>
        <w:t xml:space="preserve"> and </w:t>
      </w:r>
      <w:r w:rsidR="00CF73C5">
        <w:rPr>
          <w:rFonts w:ascii="Times New Roman" w:eastAsia="Times New Roman" w:hAnsi="Times New Roman" w:cs="Times New Roman"/>
          <w:sz w:val="24"/>
          <w:szCs w:val="24"/>
          <w:lang w:eastAsia="en-IN" w:bidi="hi-IN"/>
        </w:rPr>
        <w:t xml:space="preserve">even though difficult to measure it is still possible. At the same time </w:t>
      </w:r>
      <w:r w:rsidR="00F97D66">
        <w:rPr>
          <w:rFonts w:ascii="Times New Roman" w:eastAsia="Times New Roman" w:hAnsi="Times New Roman" w:cs="Times New Roman"/>
          <w:sz w:val="24"/>
          <w:szCs w:val="24"/>
          <w:lang w:eastAsia="en-IN" w:bidi="hi-IN"/>
        </w:rPr>
        <w:t>skilled labour and</w:t>
      </w:r>
      <w:r w:rsidR="00CF73C5">
        <w:rPr>
          <w:rFonts w:ascii="Times New Roman" w:eastAsia="Times New Roman" w:hAnsi="Times New Roman" w:cs="Times New Roman"/>
          <w:sz w:val="24"/>
          <w:szCs w:val="24"/>
          <w:lang w:eastAsia="en-IN" w:bidi="hi-IN"/>
        </w:rPr>
        <w:t xml:space="preserve"> research on the input side and clinical interventions on the output side is characterised by asset specificity and hence are difficult to enter and leave (Type V). </w:t>
      </w:r>
      <w:r w:rsidR="007076D9">
        <w:rPr>
          <w:rFonts w:ascii="Times New Roman" w:eastAsia="Times New Roman" w:hAnsi="Times New Roman" w:cs="Times New Roman"/>
          <w:sz w:val="24"/>
          <w:szCs w:val="24"/>
          <w:lang w:eastAsia="en-IN" w:bidi="hi-IN"/>
        </w:rPr>
        <w:t xml:space="preserve">Much more difficult </w:t>
      </w:r>
      <w:r w:rsidR="00CF73C5">
        <w:rPr>
          <w:rFonts w:ascii="Times New Roman" w:eastAsia="Times New Roman" w:hAnsi="Times New Roman" w:cs="Times New Roman"/>
          <w:sz w:val="24"/>
          <w:szCs w:val="24"/>
          <w:lang w:eastAsia="en-IN" w:bidi="hi-IN"/>
        </w:rPr>
        <w:t xml:space="preserve">both in terms of contestability and measurability would be </w:t>
      </w:r>
      <w:r w:rsidR="00A4288A">
        <w:rPr>
          <w:rFonts w:ascii="Times New Roman" w:eastAsia="Times New Roman" w:hAnsi="Times New Roman" w:cs="Times New Roman"/>
          <w:sz w:val="24"/>
          <w:szCs w:val="24"/>
          <w:lang w:eastAsia="en-IN" w:bidi="hi-IN"/>
        </w:rPr>
        <w:t>public health, inter-</w:t>
      </w:r>
      <w:proofErr w:type="spellStart"/>
      <w:r w:rsidR="00A4288A">
        <w:rPr>
          <w:rFonts w:ascii="Times New Roman" w:eastAsia="Times New Roman" w:hAnsi="Times New Roman" w:cs="Times New Roman"/>
          <w:sz w:val="24"/>
          <w:szCs w:val="24"/>
          <w:lang w:eastAsia="en-IN" w:bidi="hi-IN"/>
        </w:rPr>
        <w:t>sectoral</w:t>
      </w:r>
      <w:proofErr w:type="spellEnd"/>
      <w:r w:rsidR="00A4288A">
        <w:rPr>
          <w:rFonts w:ascii="Times New Roman" w:eastAsia="Times New Roman" w:hAnsi="Times New Roman" w:cs="Times New Roman"/>
          <w:sz w:val="24"/>
          <w:szCs w:val="24"/>
          <w:lang w:eastAsia="en-IN" w:bidi="hi-IN"/>
        </w:rPr>
        <w:t xml:space="preserve"> actions</w:t>
      </w:r>
      <w:r w:rsidR="00CF73C5">
        <w:rPr>
          <w:rFonts w:ascii="Times New Roman" w:eastAsia="Times New Roman" w:hAnsi="Times New Roman" w:cs="Times New Roman"/>
          <w:sz w:val="24"/>
          <w:szCs w:val="24"/>
          <w:lang w:eastAsia="en-IN" w:bidi="hi-IN"/>
        </w:rPr>
        <w:t xml:space="preserve"> </w:t>
      </w:r>
      <w:r w:rsidR="00A4288A">
        <w:rPr>
          <w:rFonts w:ascii="Times New Roman" w:eastAsia="Times New Roman" w:hAnsi="Times New Roman" w:cs="Times New Roman"/>
          <w:sz w:val="24"/>
          <w:szCs w:val="24"/>
          <w:lang w:eastAsia="en-IN" w:bidi="hi-IN"/>
        </w:rPr>
        <w:t>and in-patient care. F</w:t>
      </w:r>
      <w:r w:rsidR="000C04EF">
        <w:rPr>
          <w:rFonts w:ascii="Times New Roman" w:eastAsia="Times New Roman" w:hAnsi="Times New Roman" w:cs="Times New Roman"/>
          <w:sz w:val="24"/>
          <w:szCs w:val="24"/>
          <w:lang w:eastAsia="en-IN" w:bidi="hi-IN"/>
        </w:rPr>
        <w:t xml:space="preserve">igure 2 shows a correspondence </w:t>
      </w:r>
      <w:r w:rsidR="00A4288A">
        <w:rPr>
          <w:rFonts w:ascii="Times New Roman" w:eastAsia="Times New Roman" w:hAnsi="Times New Roman" w:cs="Times New Roman"/>
          <w:sz w:val="24"/>
          <w:szCs w:val="24"/>
          <w:lang w:eastAsia="en-IN" w:bidi="hi-IN"/>
        </w:rPr>
        <w:t xml:space="preserve">guidance </w:t>
      </w:r>
      <w:r w:rsidR="000C04EF">
        <w:rPr>
          <w:rFonts w:ascii="Times New Roman" w:eastAsia="Times New Roman" w:hAnsi="Times New Roman" w:cs="Times New Roman"/>
          <w:sz w:val="24"/>
          <w:szCs w:val="24"/>
          <w:lang w:eastAsia="en-IN" w:bidi="hi-IN"/>
        </w:rPr>
        <w:t xml:space="preserve">matrix helping in the “make” or “buy” decisions. </w:t>
      </w:r>
    </w:p>
    <w:p w:rsidR="00232482" w:rsidRDefault="00232482">
      <w:pP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br w:type="page"/>
      </w:r>
    </w:p>
    <w:p w:rsidR="00185AF5" w:rsidRDefault="00185AF5"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p>
    <w:tbl>
      <w:tblPr>
        <w:tblStyle w:val="TableGrid"/>
        <w:tblpPr w:leftFromText="180" w:rightFromText="180" w:vertAnchor="text" w:horzAnchor="margin" w:tblpY="122"/>
        <w:tblW w:w="9322" w:type="dxa"/>
        <w:tblLayout w:type="fixed"/>
        <w:tblLook w:val="04A0"/>
      </w:tblPr>
      <w:tblGrid>
        <w:gridCol w:w="1668"/>
        <w:gridCol w:w="2409"/>
        <w:gridCol w:w="2694"/>
        <w:gridCol w:w="2551"/>
      </w:tblGrid>
      <w:tr w:rsidR="00B61B1E" w:rsidTr="00B61B1E">
        <w:trPr>
          <w:trHeight w:val="277"/>
        </w:trPr>
        <w:tc>
          <w:tcPr>
            <w:tcW w:w="1668" w:type="dxa"/>
          </w:tcPr>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p>
        </w:tc>
        <w:tc>
          <w:tcPr>
            <w:tcW w:w="2409" w:type="dxa"/>
          </w:tcPr>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sidRPr="00B61B1E">
              <w:rPr>
                <w:rFonts w:ascii="Times New Roman" w:eastAsia="Times New Roman" w:hAnsi="Times New Roman" w:cs="Times New Roman"/>
                <w:b/>
                <w:bCs/>
                <w:sz w:val="24"/>
                <w:szCs w:val="24"/>
                <w:lang w:eastAsia="en-IN" w:bidi="hi-IN"/>
              </w:rPr>
              <w:t>High Contestability</w:t>
            </w:r>
          </w:p>
        </w:tc>
        <w:tc>
          <w:tcPr>
            <w:tcW w:w="2694" w:type="dxa"/>
          </w:tcPr>
          <w:p w:rsidR="00B61B1E" w:rsidRP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Medium Contestability</w:t>
            </w:r>
          </w:p>
        </w:tc>
        <w:tc>
          <w:tcPr>
            <w:tcW w:w="2551" w:type="dxa"/>
          </w:tcPr>
          <w:p w:rsidR="00B61B1E" w:rsidRP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Low Contestability</w:t>
            </w:r>
          </w:p>
        </w:tc>
      </w:tr>
      <w:tr w:rsidR="00B61B1E" w:rsidTr="00B61B1E">
        <w:tc>
          <w:tcPr>
            <w:tcW w:w="1668" w:type="dxa"/>
          </w:tcPr>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sidRPr="00B61B1E">
              <w:rPr>
                <w:rFonts w:ascii="Times New Roman" w:eastAsia="Times New Roman" w:hAnsi="Times New Roman" w:cs="Times New Roman"/>
                <w:b/>
                <w:bCs/>
                <w:sz w:val="24"/>
                <w:szCs w:val="24"/>
                <w:lang w:eastAsia="en-IN" w:bidi="hi-IN"/>
              </w:rPr>
              <w:t>High</w:t>
            </w:r>
            <w:r>
              <w:rPr>
                <w:rFonts w:ascii="Times New Roman" w:eastAsia="Times New Roman" w:hAnsi="Times New Roman" w:cs="Times New Roman"/>
                <w:b/>
                <w:bCs/>
                <w:sz w:val="24"/>
                <w:szCs w:val="24"/>
                <w:lang w:eastAsia="en-IN" w:bidi="hi-IN"/>
              </w:rPr>
              <w:t xml:space="preserve"> </w:t>
            </w:r>
            <w:r w:rsidRPr="00B61B1E">
              <w:rPr>
                <w:rFonts w:ascii="Times New Roman" w:eastAsia="Times New Roman" w:hAnsi="Times New Roman" w:cs="Times New Roman"/>
                <w:b/>
                <w:bCs/>
                <w:sz w:val="24"/>
                <w:szCs w:val="24"/>
                <w:lang w:eastAsia="en-IN" w:bidi="hi-IN"/>
              </w:rPr>
              <w:t>Measurability</w:t>
            </w:r>
          </w:p>
        </w:tc>
        <w:tc>
          <w:tcPr>
            <w:tcW w:w="2409" w:type="dxa"/>
          </w:tcPr>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Unskilled Labour</w:t>
            </w:r>
          </w:p>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Consumables (input) </w:t>
            </w:r>
          </w:p>
          <w:p w:rsidR="00B61B1E" w:rsidRPr="005971EB"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sz w:val="24"/>
                <w:szCs w:val="24"/>
                <w:lang w:eastAsia="en-IN" w:bidi="hi-IN"/>
              </w:rPr>
            </w:pPr>
            <w:r w:rsidRPr="005971EB">
              <w:rPr>
                <w:rFonts w:ascii="Times New Roman" w:eastAsia="Times New Roman" w:hAnsi="Times New Roman" w:cs="Times New Roman"/>
                <w:b/>
                <w:bCs/>
                <w:i/>
                <w:iCs/>
                <w:sz w:val="24"/>
                <w:szCs w:val="24"/>
                <w:lang w:eastAsia="en-IN" w:bidi="hi-IN"/>
              </w:rPr>
              <w:t>TYPE I</w:t>
            </w:r>
          </w:p>
        </w:tc>
        <w:tc>
          <w:tcPr>
            <w:tcW w:w="2694" w:type="dxa"/>
          </w:tcPr>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Production of Equipment (input)</w:t>
            </w:r>
          </w:p>
          <w:p w:rsidR="00B61B1E" w:rsidRPr="005971EB"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sz w:val="24"/>
                <w:szCs w:val="24"/>
                <w:lang w:eastAsia="en-IN" w:bidi="hi-IN"/>
              </w:rPr>
            </w:pPr>
            <w:r w:rsidRPr="005971EB">
              <w:rPr>
                <w:rFonts w:ascii="Times New Roman" w:eastAsia="Times New Roman" w:hAnsi="Times New Roman" w:cs="Times New Roman"/>
                <w:b/>
                <w:bCs/>
                <w:i/>
                <w:iCs/>
                <w:sz w:val="24"/>
                <w:szCs w:val="24"/>
                <w:lang w:eastAsia="en-IN" w:bidi="hi-IN"/>
              </w:rPr>
              <w:t>TYPE II</w:t>
            </w:r>
          </w:p>
        </w:tc>
        <w:tc>
          <w:tcPr>
            <w:tcW w:w="2551" w:type="dxa"/>
          </w:tcPr>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proofErr w:type="spellStart"/>
            <w:r>
              <w:rPr>
                <w:rFonts w:ascii="Times New Roman" w:eastAsia="Times New Roman" w:hAnsi="Times New Roman" w:cs="Times New Roman"/>
                <w:sz w:val="24"/>
                <w:szCs w:val="24"/>
                <w:lang w:eastAsia="en-IN" w:bidi="hi-IN"/>
              </w:rPr>
              <w:t>Pharma</w:t>
            </w:r>
            <w:proofErr w:type="spellEnd"/>
            <w:r>
              <w:rPr>
                <w:rFonts w:ascii="Times New Roman" w:eastAsia="Times New Roman" w:hAnsi="Times New Roman" w:cs="Times New Roman"/>
                <w:sz w:val="24"/>
                <w:szCs w:val="24"/>
                <w:lang w:eastAsia="en-IN" w:bidi="hi-IN"/>
              </w:rPr>
              <w:t xml:space="preserve"> Production (input) </w:t>
            </w:r>
          </w:p>
          <w:p w:rsidR="00B61B1E" w:rsidRPr="005971EB"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sz w:val="24"/>
                <w:szCs w:val="24"/>
                <w:lang w:eastAsia="en-IN" w:bidi="hi-IN"/>
              </w:rPr>
            </w:pPr>
            <w:r w:rsidRPr="005971EB">
              <w:rPr>
                <w:rFonts w:ascii="Times New Roman" w:eastAsia="Times New Roman" w:hAnsi="Times New Roman" w:cs="Times New Roman"/>
                <w:b/>
                <w:bCs/>
                <w:i/>
                <w:iCs/>
                <w:sz w:val="24"/>
                <w:szCs w:val="24"/>
                <w:lang w:eastAsia="en-IN" w:bidi="hi-IN"/>
              </w:rPr>
              <w:t>TYPE III</w:t>
            </w:r>
          </w:p>
        </w:tc>
      </w:tr>
      <w:tr w:rsidR="00B61B1E" w:rsidTr="00B61B1E">
        <w:tc>
          <w:tcPr>
            <w:tcW w:w="1668" w:type="dxa"/>
          </w:tcPr>
          <w:p w:rsidR="00B61B1E" w:rsidRP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Medium</w:t>
            </w:r>
          </w:p>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sidRPr="00B61B1E">
              <w:rPr>
                <w:rFonts w:ascii="Times New Roman" w:eastAsia="Times New Roman" w:hAnsi="Times New Roman" w:cs="Times New Roman"/>
                <w:b/>
                <w:bCs/>
                <w:sz w:val="24"/>
                <w:szCs w:val="24"/>
                <w:lang w:eastAsia="en-IN" w:bidi="hi-IN"/>
              </w:rPr>
              <w:t>Measurability</w:t>
            </w:r>
          </w:p>
        </w:tc>
        <w:tc>
          <w:tcPr>
            <w:tcW w:w="2409" w:type="dxa"/>
          </w:tcPr>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Non clinical activities - Laundry, catering, security etc., (output)</w:t>
            </w:r>
          </w:p>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p>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iCs/>
                <w:sz w:val="24"/>
                <w:szCs w:val="24"/>
                <w:lang w:eastAsia="en-IN" w:bidi="hi-IN"/>
              </w:rPr>
            </w:pPr>
          </w:p>
          <w:p w:rsidR="00B61B1E" w:rsidRPr="005971EB"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sz w:val="24"/>
                <w:szCs w:val="24"/>
                <w:lang w:eastAsia="en-IN" w:bidi="hi-IN"/>
              </w:rPr>
            </w:pPr>
            <w:r w:rsidRPr="005971EB">
              <w:rPr>
                <w:rFonts w:ascii="Times New Roman" w:eastAsia="Times New Roman" w:hAnsi="Times New Roman" w:cs="Times New Roman"/>
                <w:b/>
                <w:bCs/>
                <w:i/>
                <w:iCs/>
                <w:sz w:val="24"/>
                <w:szCs w:val="24"/>
                <w:lang w:eastAsia="en-IN" w:bidi="hi-IN"/>
              </w:rPr>
              <w:t>TYPE IV</w:t>
            </w:r>
          </w:p>
        </w:tc>
        <w:tc>
          <w:tcPr>
            <w:tcW w:w="2694" w:type="dxa"/>
          </w:tcPr>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Skilled Labour (input)</w:t>
            </w:r>
          </w:p>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High technology diagnostics</w:t>
            </w:r>
          </w:p>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Clinical interventions (output)</w:t>
            </w:r>
          </w:p>
          <w:p w:rsidR="00B61B1E" w:rsidRPr="005971EB"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sz w:val="24"/>
                <w:szCs w:val="24"/>
                <w:lang w:eastAsia="en-IN" w:bidi="hi-IN"/>
              </w:rPr>
            </w:pPr>
            <w:r w:rsidRPr="005971EB">
              <w:rPr>
                <w:rFonts w:ascii="Times New Roman" w:eastAsia="Times New Roman" w:hAnsi="Times New Roman" w:cs="Times New Roman"/>
                <w:b/>
                <w:bCs/>
                <w:i/>
                <w:iCs/>
                <w:sz w:val="24"/>
                <w:szCs w:val="24"/>
                <w:lang w:eastAsia="en-IN" w:bidi="hi-IN"/>
              </w:rPr>
              <w:t>TYPE V</w:t>
            </w:r>
          </w:p>
        </w:tc>
        <w:tc>
          <w:tcPr>
            <w:tcW w:w="2551" w:type="dxa"/>
          </w:tcPr>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Research, Knowledge </w:t>
            </w:r>
          </w:p>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Higher education Highly skilled labour (input)</w:t>
            </w:r>
          </w:p>
          <w:p w:rsidR="00B61B1E"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p>
          <w:p w:rsidR="00B61B1E" w:rsidRPr="005971EB" w:rsidRDefault="00B61B1E" w:rsidP="00B6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sz w:val="24"/>
                <w:szCs w:val="24"/>
                <w:lang w:eastAsia="en-IN" w:bidi="hi-IN"/>
              </w:rPr>
            </w:pPr>
            <w:r w:rsidRPr="005971EB">
              <w:rPr>
                <w:rFonts w:ascii="Times New Roman" w:eastAsia="Times New Roman" w:hAnsi="Times New Roman" w:cs="Times New Roman"/>
                <w:b/>
                <w:bCs/>
                <w:i/>
                <w:iCs/>
                <w:sz w:val="24"/>
                <w:szCs w:val="24"/>
                <w:lang w:eastAsia="en-IN" w:bidi="hi-IN"/>
              </w:rPr>
              <w:t>TYPE VI</w:t>
            </w:r>
          </w:p>
        </w:tc>
      </w:tr>
      <w:tr w:rsidR="00A83ED2" w:rsidTr="00B61B1E">
        <w:tc>
          <w:tcPr>
            <w:tcW w:w="1668" w:type="dxa"/>
          </w:tcPr>
          <w:p w:rsidR="00A83ED2" w:rsidRPr="00B61B1E"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 xml:space="preserve">Low </w:t>
            </w:r>
          </w:p>
          <w:p w:rsidR="00A83ED2"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sidRPr="00B61B1E">
              <w:rPr>
                <w:rFonts w:ascii="Times New Roman" w:eastAsia="Times New Roman" w:hAnsi="Times New Roman" w:cs="Times New Roman"/>
                <w:b/>
                <w:bCs/>
                <w:sz w:val="24"/>
                <w:szCs w:val="24"/>
                <w:lang w:eastAsia="en-IN" w:bidi="hi-IN"/>
              </w:rPr>
              <w:t>Measurability</w:t>
            </w:r>
            <w:r>
              <w:rPr>
                <w:rFonts w:ascii="Times New Roman" w:eastAsia="Times New Roman" w:hAnsi="Times New Roman" w:cs="Times New Roman"/>
                <w:sz w:val="24"/>
                <w:szCs w:val="24"/>
                <w:lang w:eastAsia="en-IN" w:bidi="hi-IN"/>
              </w:rPr>
              <w:t xml:space="preserve"> </w:t>
            </w:r>
          </w:p>
        </w:tc>
        <w:tc>
          <w:tcPr>
            <w:tcW w:w="2409" w:type="dxa"/>
          </w:tcPr>
          <w:p w:rsidR="00A83ED2"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Outpatient services </w:t>
            </w:r>
          </w:p>
          <w:p w:rsidR="00A83ED2"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(output)</w:t>
            </w:r>
          </w:p>
          <w:p w:rsidR="00A83ED2"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i/>
                <w:iCs/>
                <w:sz w:val="24"/>
                <w:szCs w:val="24"/>
                <w:lang w:eastAsia="en-IN" w:bidi="hi-IN"/>
              </w:rPr>
            </w:pPr>
          </w:p>
          <w:p w:rsidR="00A83ED2" w:rsidRPr="005971EB"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sz w:val="24"/>
                <w:szCs w:val="24"/>
                <w:lang w:eastAsia="en-IN" w:bidi="hi-IN"/>
              </w:rPr>
            </w:pPr>
            <w:r w:rsidRPr="005971EB">
              <w:rPr>
                <w:rFonts w:ascii="Times New Roman" w:eastAsia="Times New Roman" w:hAnsi="Times New Roman" w:cs="Times New Roman"/>
                <w:b/>
                <w:bCs/>
                <w:i/>
                <w:iCs/>
                <w:sz w:val="24"/>
                <w:szCs w:val="24"/>
                <w:lang w:eastAsia="en-IN" w:bidi="hi-IN"/>
              </w:rPr>
              <w:t>TYPE VII</w:t>
            </w:r>
          </w:p>
        </w:tc>
        <w:tc>
          <w:tcPr>
            <w:tcW w:w="2694" w:type="dxa"/>
          </w:tcPr>
          <w:p w:rsidR="00A83ED2"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Public Health</w:t>
            </w:r>
          </w:p>
          <w:p w:rsidR="00A83ED2"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Inter-</w:t>
            </w:r>
            <w:proofErr w:type="spellStart"/>
            <w:r>
              <w:rPr>
                <w:rFonts w:ascii="Times New Roman" w:eastAsia="Times New Roman" w:hAnsi="Times New Roman" w:cs="Times New Roman"/>
                <w:sz w:val="24"/>
                <w:szCs w:val="24"/>
                <w:lang w:eastAsia="en-IN" w:bidi="hi-IN"/>
              </w:rPr>
              <w:t>sectoral</w:t>
            </w:r>
            <w:proofErr w:type="spellEnd"/>
            <w:r>
              <w:rPr>
                <w:rFonts w:ascii="Times New Roman" w:eastAsia="Times New Roman" w:hAnsi="Times New Roman" w:cs="Times New Roman"/>
                <w:sz w:val="24"/>
                <w:szCs w:val="24"/>
                <w:lang w:eastAsia="en-IN" w:bidi="hi-IN"/>
              </w:rPr>
              <w:t xml:space="preserve"> action (output)</w:t>
            </w:r>
          </w:p>
          <w:p w:rsidR="00A83ED2" w:rsidRPr="005971EB"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sz w:val="24"/>
                <w:szCs w:val="24"/>
                <w:lang w:eastAsia="en-IN" w:bidi="hi-IN"/>
              </w:rPr>
            </w:pPr>
            <w:r w:rsidRPr="005971EB">
              <w:rPr>
                <w:rFonts w:ascii="Times New Roman" w:eastAsia="Times New Roman" w:hAnsi="Times New Roman" w:cs="Times New Roman"/>
                <w:b/>
                <w:bCs/>
                <w:i/>
                <w:iCs/>
                <w:sz w:val="24"/>
                <w:szCs w:val="24"/>
                <w:lang w:eastAsia="en-IN" w:bidi="hi-IN"/>
              </w:rPr>
              <w:t>TYPE VIII</w:t>
            </w:r>
          </w:p>
        </w:tc>
        <w:tc>
          <w:tcPr>
            <w:tcW w:w="2551" w:type="dxa"/>
          </w:tcPr>
          <w:p w:rsidR="00A83ED2"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Policy Making (output)</w:t>
            </w:r>
          </w:p>
          <w:p w:rsidR="00A83ED2"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Monitoring/Evaluation  </w:t>
            </w:r>
          </w:p>
          <w:p w:rsidR="00A83ED2"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lang w:eastAsia="en-IN" w:bidi="hi-IN"/>
              </w:rPr>
            </w:pPr>
          </w:p>
          <w:p w:rsidR="00A83ED2" w:rsidRPr="005971EB" w:rsidRDefault="00A83ED2" w:rsidP="00A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r w:rsidRPr="005971EB">
              <w:rPr>
                <w:rFonts w:ascii="Times New Roman" w:eastAsia="Times New Roman" w:hAnsi="Times New Roman" w:cs="Times New Roman"/>
                <w:b/>
                <w:bCs/>
                <w:i/>
                <w:iCs/>
                <w:sz w:val="24"/>
                <w:szCs w:val="24"/>
                <w:lang w:eastAsia="en-IN" w:bidi="hi-IN"/>
              </w:rPr>
              <w:t>TYPE IX</w:t>
            </w:r>
          </w:p>
        </w:tc>
      </w:tr>
    </w:tbl>
    <w:p w:rsidR="00A83ED2" w:rsidRDefault="00CF509C">
      <w:r>
        <w:rPr>
          <w:noProof/>
          <w:lang w:eastAsia="en-IN" w:bidi="hi-IN"/>
        </w:rPr>
        <w:pict>
          <v:shapetype id="_x0000_t202" coordsize="21600,21600" o:spt="202" path="m,l,21600r21600,l21600,xe">
            <v:stroke joinstyle="miter"/>
            <v:path gradientshapeok="t" o:connecttype="rect"/>
          </v:shapetype>
          <v:shape id="_x0000_s1062" type="#_x0000_t202" style="position:absolute;margin-left:-5pt;margin-top:202.8pt;width:464.25pt;height:57.75pt;z-index:251700224;mso-position-horizontal-relative:text;mso-position-vertical-relative:text" strokecolor="white [3212]">
            <v:textbox style="mso-next-textbox:#_x0000_s1062">
              <w:txbxContent>
                <w:p w:rsidR="00EF55C5" w:rsidRDefault="00EF55C5" w:rsidP="00EF55C5">
                  <w:pPr>
                    <w:spacing w:after="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Figure 1</w:t>
                  </w:r>
                  <w:r w:rsidRPr="009103A8">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Contestability and Measurability Matrix </w:t>
                  </w:r>
                  <w:r w:rsidR="00F97D66">
                    <w:rPr>
                      <w:rFonts w:ascii="Times New Roman" w:hAnsi="Times New Roman" w:cs="Times New Roman"/>
                      <w:b/>
                      <w:bCs/>
                      <w:sz w:val="28"/>
                      <w:szCs w:val="28"/>
                      <w:lang w:val="en-US"/>
                    </w:rPr>
                    <w:t>for Health sector</w:t>
                  </w:r>
                </w:p>
                <w:p w:rsidR="00EF55C5" w:rsidRPr="009103A8" w:rsidRDefault="00EF55C5" w:rsidP="00EF55C5">
                  <w:pPr>
                    <w:spacing w:after="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(For both inputs and outputs) </w:t>
                  </w:r>
                </w:p>
                <w:p w:rsidR="00EF55C5" w:rsidRDefault="00EF55C5" w:rsidP="00EF55C5">
                  <w:pPr>
                    <w:spacing w:after="0"/>
                    <w:jc w:val="right"/>
                    <w:rPr>
                      <w:lang w:val="en-US"/>
                    </w:rPr>
                  </w:pPr>
                  <w:r w:rsidRPr="009103A8">
                    <w:rPr>
                      <w:i/>
                      <w:iCs/>
                      <w:lang w:val="en-US"/>
                    </w:rPr>
                    <w:t>Source:</w:t>
                  </w:r>
                  <w:r>
                    <w:rPr>
                      <w:lang w:val="en-US"/>
                    </w:rPr>
                    <w:t xml:space="preserve">  Adapted from </w:t>
                  </w:r>
                  <w:proofErr w:type="spellStart"/>
                  <w:r>
                    <w:rPr>
                      <w:lang w:val="en-US"/>
                    </w:rPr>
                    <w:t>Preker</w:t>
                  </w:r>
                  <w:proofErr w:type="spellEnd"/>
                  <w:r>
                    <w:rPr>
                      <w:lang w:val="en-US"/>
                    </w:rPr>
                    <w:t xml:space="preserve"> et al., 2000</w:t>
                  </w:r>
                </w:p>
                <w:p w:rsidR="00EF55C5" w:rsidRPr="009103A8" w:rsidRDefault="00EF55C5" w:rsidP="00EF55C5">
                  <w:pPr>
                    <w:rPr>
                      <w:lang w:val="en-US"/>
                    </w:rPr>
                  </w:pPr>
                </w:p>
              </w:txbxContent>
            </v:textbox>
          </v:shape>
        </w:pict>
      </w:r>
    </w:p>
    <w:p w:rsidR="00A83ED2" w:rsidRDefault="00A83ED2"/>
    <w:p w:rsidR="0044661C" w:rsidRDefault="0044661C"/>
    <w:tbl>
      <w:tblPr>
        <w:tblStyle w:val="TableGrid"/>
        <w:tblpPr w:leftFromText="180" w:rightFromText="180" w:vertAnchor="text" w:horzAnchor="margin" w:tblpY="122"/>
        <w:tblW w:w="9322" w:type="dxa"/>
        <w:tblLayout w:type="fixed"/>
        <w:tblLook w:val="04A0"/>
      </w:tblPr>
      <w:tblGrid>
        <w:gridCol w:w="1668"/>
        <w:gridCol w:w="2409"/>
        <w:gridCol w:w="2694"/>
        <w:gridCol w:w="2551"/>
      </w:tblGrid>
      <w:tr w:rsidR="005971EB" w:rsidTr="00574791">
        <w:trPr>
          <w:trHeight w:val="277"/>
        </w:trPr>
        <w:tc>
          <w:tcPr>
            <w:tcW w:w="1668" w:type="dxa"/>
          </w:tcPr>
          <w:p w:rsidR="005971EB" w:rsidRDefault="005971EB"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p>
        </w:tc>
        <w:tc>
          <w:tcPr>
            <w:tcW w:w="2409" w:type="dxa"/>
            <w:tcBorders>
              <w:bottom w:val="single" w:sz="4" w:space="0" w:color="auto"/>
            </w:tcBorders>
          </w:tcPr>
          <w:p w:rsidR="005971EB" w:rsidRDefault="005971EB"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sidRPr="00B61B1E">
              <w:rPr>
                <w:rFonts w:ascii="Times New Roman" w:eastAsia="Times New Roman" w:hAnsi="Times New Roman" w:cs="Times New Roman"/>
                <w:b/>
                <w:bCs/>
                <w:sz w:val="24"/>
                <w:szCs w:val="24"/>
                <w:lang w:eastAsia="en-IN" w:bidi="hi-IN"/>
              </w:rPr>
              <w:t>High Contestability</w:t>
            </w:r>
          </w:p>
        </w:tc>
        <w:tc>
          <w:tcPr>
            <w:tcW w:w="2694" w:type="dxa"/>
            <w:tcBorders>
              <w:bottom w:val="single" w:sz="4" w:space="0" w:color="auto"/>
            </w:tcBorders>
          </w:tcPr>
          <w:p w:rsidR="005971EB" w:rsidRPr="00B61B1E" w:rsidRDefault="005971EB"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Medium Contestability</w:t>
            </w:r>
          </w:p>
        </w:tc>
        <w:tc>
          <w:tcPr>
            <w:tcW w:w="2551" w:type="dxa"/>
            <w:tcBorders>
              <w:bottom w:val="single" w:sz="4" w:space="0" w:color="auto"/>
              <w:right w:val="single" w:sz="4" w:space="0" w:color="auto"/>
            </w:tcBorders>
          </w:tcPr>
          <w:p w:rsidR="005971EB" w:rsidRPr="00B61B1E" w:rsidRDefault="005971EB"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Low Contestability</w:t>
            </w:r>
          </w:p>
        </w:tc>
      </w:tr>
      <w:tr w:rsidR="00574791" w:rsidTr="00574791">
        <w:tc>
          <w:tcPr>
            <w:tcW w:w="1668" w:type="dxa"/>
          </w:tcPr>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High</w:t>
            </w:r>
            <w:r>
              <w:rPr>
                <w:rFonts w:ascii="Times New Roman" w:eastAsia="Times New Roman" w:hAnsi="Times New Roman" w:cs="Times New Roman"/>
                <w:b/>
                <w:bCs/>
                <w:sz w:val="24"/>
                <w:szCs w:val="24"/>
                <w:lang w:eastAsia="en-IN" w:bidi="hi-IN"/>
              </w:rPr>
              <w:t xml:space="preserve"> </w:t>
            </w:r>
            <w:r w:rsidRPr="00B61B1E">
              <w:rPr>
                <w:rFonts w:ascii="Times New Roman" w:eastAsia="Times New Roman" w:hAnsi="Times New Roman" w:cs="Times New Roman"/>
                <w:b/>
                <w:bCs/>
                <w:sz w:val="24"/>
                <w:szCs w:val="24"/>
                <w:lang w:eastAsia="en-IN" w:bidi="hi-IN"/>
              </w:rPr>
              <w:t>Measurability</w:t>
            </w: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p>
        </w:tc>
        <w:tc>
          <w:tcPr>
            <w:tcW w:w="2409" w:type="dxa"/>
            <w:vMerge w:val="restart"/>
            <w:tcBorders>
              <w:top w:val="single" w:sz="4" w:space="0" w:color="auto"/>
              <w:right w:val="nil"/>
            </w:tcBorders>
          </w:tcPr>
          <w:p w:rsidR="00574791" w:rsidRDefault="00CF509C"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noProof/>
                <w:sz w:val="24"/>
                <w:szCs w:val="24"/>
                <w:lang w:eastAsia="en-IN" w:bidi="hi-IN"/>
              </w:rPr>
              <w:pict>
                <v:shapetype id="_x0000_t32" coordsize="21600,21600" o:spt="32" o:oned="t" path="m,l21600,21600e" filled="f">
                  <v:path arrowok="t" fillok="f" o:connecttype="none"/>
                  <o:lock v:ext="edit" shapetype="t"/>
                </v:shapetype>
                <v:shape id="_x0000_s1029" type="#_x0000_t32" style="position:absolute;left:0;text-align:left;margin-left:-5.4pt;margin-top:.9pt;width:171.75pt;height:83.25pt;flip:y;z-index:251659264;mso-position-horizontal-relative:text;mso-position-vertical-relative:text" o:connectortype="straight"/>
              </w:pict>
            </w:r>
            <w:r w:rsidR="00574791">
              <w:rPr>
                <w:rFonts w:ascii="Times New Roman" w:eastAsia="Times New Roman" w:hAnsi="Times New Roman" w:cs="Times New Roman"/>
                <w:b/>
                <w:bCs/>
                <w:noProof/>
                <w:sz w:val="24"/>
                <w:szCs w:val="24"/>
                <w:lang w:eastAsia="en-IN" w:bidi="hi-IN"/>
              </w:rPr>
              <w:drawing>
                <wp:anchor distT="0" distB="0" distL="114300" distR="114300" simplePos="0" relativeHeight="251696128" behindDoc="1" locked="0" layoutInCell="1" allowOverlap="1">
                  <wp:simplePos x="0" y="0"/>
                  <wp:positionH relativeFrom="column">
                    <wp:posOffset>-11430</wp:posOffset>
                  </wp:positionH>
                  <wp:positionV relativeFrom="paragraph">
                    <wp:posOffset>-7620</wp:posOffset>
                  </wp:positionV>
                  <wp:extent cx="1457325" cy="876300"/>
                  <wp:effectExtent l="0" t="0" r="0" b="0"/>
                  <wp:wrapTight wrapText="bothSides">
                    <wp:wrapPolygon edited="0">
                      <wp:start x="14400" y="2348"/>
                      <wp:lineTo x="4800" y="9391"/>
                      <wp:lineTo x="565" y="11739"/>
                      <wp:lineTo x="282" y="12678"/>
                      <wp:lineTo x="1412" y="17374"/>
                      <wp:lineTo x="1976" y="19252"/>
                      <wp:lineTo x="3953" y="19252"/>
                      <wp:lineTo x="4235" y="19252"/>
                      <wp:lineTo x="5647" y="17374"/>
                      <wp:lineTo x="10165" y="15496"/>
                      <wp:lineTo x="11294" y="12209"/>
                      <wp:lineTo x="9318" y="9861"/>
                      <wp:lineTo x="11294" y="9861"/>
                      <wp:lineTo x="16659" y="4226"/>
                      <wp:lineTo x="16376" y="2348"/>
                      <wp:lineTo x="14400" y="2348"/>
                    </wp:wrapPolygon>
                  </wp:wrapTight>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57325" cy="876300"/>
                          </a:xfrm>
                          <a:prstGeom prst="rect">
                            <a:avLst/>
                          </a:prstGeom>
                          <a:noFill/>
                          <a:ln w="9525">
                            <a:noFill/>
                            <a:miter lim="800000"/>
                            <a:headEnd/>
                            <a:tailEnd/>
                          </a:ln>
                        </pic:spPr>
                      </pic:pic>
                    </a:graphicData>
                  </a:graphic>
                </wp:anchor>
              </w:drawing>
            </w: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p w:rsidR="00574791" w:rsidRDefault="00CF509C"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noProof/>
                <w:sz w:val="24"/>
                <w:szCs w:val="24"/>
                <w:lang w:eastAsia="en-IN" w:bidi="hi-IN"/>
              </w:rPr>
              <w:pict>
                <v:shape id="_x0000_s1055" type="#_x0000_t32" style="position:absolute;left:0;text-align:left;margin-left:27.65pt;margin-top:5.2pt;width:282.25pt;height:139.9pt;flip:y;z-index:251695104" o:connectortype="straight"/>
              </w:pict>
            </w: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p w:rsidR="00574791" w:rsidRPr="009103A8" w:rsidRDefault="00574791" w:rsidP="00A55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tc>
        <w:tc>
          <w:tcPr>
            <w:tcW w:w="2694" w:type="dxa"/>
            <w:vMerge w:val="restart"/>
            <w:tcBorders>
              <w:top w:val="single" w:sz="4" w:space="0" w:color="auto"/>
              <w:left w:val="nil"/>
              <w:right w:val="nil"/>
            </w:tcBorders>
          </w:tcPr>
          <w:p w:rsidR="00574791" w:rsidRPr="009103A8" w:rsidRDefault="00CF509C" w:rsidP="00574791">
            <w:pPr>
              <w:tabs>
                <w:tab w:val="left" w:pos="870"/>
                <w:tab w:val="left" w:pos="916"/>
                <w:tab w:val="center" w:pos="123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noProof/>
                <w:sz w:val="24"/>
                <w:szCs w:val="24"/>
                <w:lang w:eastAsia="en-IN" w:bidi="hi-IN"/>
              </w:rPr>
              <w:pict>
                <v:shape id="_x0000_s1065" type="#_x0000_t32" style="position:absolute;margin-left:48.9pt;margin-top:100.6pt;width:21.75pt;height:38.25pt;z-index:251702272;mso-position-horizontal-relative:text;mso-position-vertical-relative:text" o:connectortype="straight" strokeweight="2pt"/>
              </w:pict>
            </w:r>
            <w:r>
              <w:rPr>
                <w:rFonts w:ascii="Times New Roman" w:eastAsia="Times New Roman" w:hAnsi="Times New Roman" w:cs="Times New Roman"/>
                <w:b/>
                <w:bCs/>
                <w:noProof/>
                <w:sz w:val="24"/>
                <w:szCs w:val="24"/>
                <w:lang w:eastAsia="en-IN" w:bidi="hi-IN"/>
              </w:rPr>
              <w:pict>
                <v:shape id="_x0000_s1063" type="#_x0000_t32" style="position:absolute;margin-left:3.15pt;margin-top:21.1pt;width:29.25pt;height:53.25pt;z-index:251701248;mso-position-horizontal-relative:text;mso-position-vertical-relative:text" o:connectortype="straight" strokeweight="2pt"/>
              </w:pict>
            </w:r>
            <w:r w:rsidR="00574791">
              <w:rPr>
                <w:rFonts w:ascii="Times New Roman" w:eastAsia="Times New Roman" w:hAnsi="Times New Roman" w:cs="Times New Roman"/>
                <w:b/>
                <w:bCs/>
                <w:noProof/>
                <w:sz w:val="24"/>
                <w:szCs w:val="24"/>
                <w:lang w:eastAsia="en-IN" w:bidi="hi-IN"/>
              </w:rPr>
              <w:drawing>
                <wp:anchor distT="0" distB="0" distL="114300" distR="114300" simplePos="0" relativeHeight="251697152" behindDoc="1" locked="0" layoutInCell="1" allowOverlap="1">
                  <wp:simplePos x="0" y="0"/>
                  <wp:positionH relativeFrom="column">
                    <wp:posOffset>-64770</wp:posOffset>
                  </wp:positionH>
                  <wp:positionV relativeFrom="paragraph">
                    <wp:posOffset>331470</wp:posOffset>
                  </wp:positionV>
                  <wp:extent cx="1781175" cy="1228725"/>
                  <wp:effectExtent l="0" t="0" r="0" b="0"/>
                  <wp:wrapTight wrapText="bothSides">
                    <wp:wrapPolygon edited="0">
                      <wp:start x="15737" y="1740"/>
                      <wp:lineTo x="10507" y="6288"/>
                      <wp:lineTo x="9104" y="6399"/>
                      <wp:lineTo x="4409" y="10022"/>
                      <wp:lineTo x="47" y="12351"/>
                      <wp:lineTo x="-183" y="15347"/>
                      <wp:lineTo x="3031" y="15865"/>
                      <wp:lineTo x="2291" y="16420"/>
                      <wp:lineTo x="1985" y="17381"/>
                      <wp:lineTo x="2113" y="18749"/>
                      <wp:lineTo x="4409" y="19120"/>
                      <wp:lineTo x="4638" y="19157"/>
                      <wp:lineTo x="7598" y="16938"/>
                      <wp:lineTo x="7623" y="16606"/>
                      <wp:lineTo x="7853" y="16643"/>
                      <wp:lineTo x="14206" y="12613"/>
                      <wp:lineTo x="14231" y="12280"/>
                      <wp:lineTo x="16323" y="12280"/>
                      <wp:lineTo x="16298" y="9581"/>
                      <wp:lineTo x="13033" y="6695"/>
                      <wp:lineTo x="15354" y="6733"/>
                      <wp:lineTo x="17880" y="4108"/>
                      <wp:lineTo x="17345" y="2000"/>
                      <wp:lineTo x="15737" y="1740"/>
                    </wp:wrapPolygon>
                  </wp:wrapTight>
                  <wp:docPr id="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rot="21219121">
                            <a:off x="0" y="0"/>
                            <a:ext cx="1781175" cy="1228725"/>
                          </a:xfrm>
                          <a:prstGeom prst="rect">
                            <a:avLst/>
                          </a:prstGeom>
                          <a:noFill/>
                          <a:ln w="9525">
                            <a:noFill/>
                            <a:miter lim="800000"/>
                            <a:headEnd/>
                            <a:tailEnd/>
                          </a:ln>
                        </pic:spPr>
                      </pic:pic>
                    </a:graphicData>
                  </a:graphic>
                </wp:anchor>
              </w:drawing>
            </w:r>
            <w:r w:rsidR="00574791">
              <w:rPr>
                <w:rFonts w:ascii="Times New Roman" w:eastAsia="Times New Roman" w:hAnsi="Times New Roman" w:cs="Times New Roman"/>
                <w:b/>
                <w:bCs/>
                <w:sz w:val="24"/>
                <w:szCs w:val="24"/>
                <w:lang w:eastAsia="en-IN" w:bidi="hi-IN"/>
              </w:rPr>
              <w:tab/>
            </w:r>
            <w:r w:rsidR="00574791">
              <w:rPr>
                <w:rFonts w:ascii="Times New Roman" w:eastAsia="Times New Roman" w:hAnsi="Times New Roman" w:cs="Times New Roman"/>
                <w:b/>
                <w:bCs/>
                <w:sz w:val="24"/>
                <w:szCs w:val="24"/>
                <w:lang w:eastAsia="en-IN" w:bidi="hi-IN"/>
              </w:rPr>
              <w:tab/>
            </w:r>
            <w:r w:rsidR="00574791">
              <w:rPr>
                <w:rFonts w:ascii="Times New Roman" w:eastAsia="Times New Roman" w:hAnsi="Times New Roman" w:cs="Times New Roman"/>
                <w:b/>
                <w:bCs/>
                <w:sz w:val="24"/>
                <w:szCs w:val="24"/>
                <w:lang w:eastAsia="en-IN" w:bidi="hi-IN"/>
              </w:rPr>
              <w:tab/>
            </w:r>
          </w:p>
        </w:tc>
        <w:tc>
          <w:tcPr>
            <w:tcW w:w="2551" w:type="dxa"/>
            <w:tcBorders>
              <w:top w:val="single" w:sz="4" w:space="0" w:color="auto"/>
              <w:left w:val="nil"/>
              <w:bottom w:val="nil"/>
              <w:right w:val="single" w:sz="4" w:space="0" w:color="auto"/>
            </w:tcBorders>
          </w:tcPr>
          <w:p w:rsidR="00574791" w:rsidRPr="009103A8"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tc>
      </w:tr>
      <w:tr w:rsidR="00574791" w:rsidTr="00574791">
        <w:tc>
          <w:tcPr>
            <w:tcW w:w="1668" w:type="dxa"/>
          </w:tcPr>
          <w:p w:rsidR="00574791" w:rsidRPr="00B61B1E"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Medium</w:t>
            </w: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Measurability</w:t>
            </w: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p>
        </w:tc>
        <w:tc>
          <w:tcPr>
            <w:tcW w:w="2409" w:type="dxa"/>
            <w:vMerge/>
            <w:tcBorders>
              <w:right w:val="nil"/>
            </w:tcBorders>
          </w:tcPr>
          <w:p w:rsidR="00574791" w:rsidRPr="009103A8" w:rsidRDefault="00574791" w:rsidP="00A55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tc>
        <w:tc>
          <w:tcPr>
            <w:tcW w:w="2694" w:type="dxa"/>
            <w:vMerge/>
            <w:tcBorders>
              <w:left w:val="nil"/>
              <w:right w:val="nil"/>
            </w:tcBorders>
          </w:tcPr>
          <w:p w:rsidR="00574791" w:rsidRPr="009103A8"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tc>
        <w:tc>
          <w:tcPr>
            <w:tcW w:w="2551" w:type="dxa"/>
            <w:tcBorders>
              <w:top w:val="nil"/>
              <w:left w:val="nil"/>
              <w:bottom w:val="nil"/>
              <w:right w:val="single" w:sz="4" w:space="0" w:color="auto"/>
            </w:tcBorders>
          </w:tcPr>
          <w:p w:rsidR="00574791" w:rsidRPr="009103A8"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tc>
      </w:tr>
      <w:tr w:rsidR="00574791" w:rsidTr="00574791">
        <w:tc>
          <w:tcPr>
            <w:tcW w:w="1668" w:type="dxa"/>
          </w:tcPr>
          <w:p w:rsidR="00574791" w:rsidRPr="00B61B1E"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 xml:space="preserve">Low </w:t>
            </w: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r w:rsidRPr="00B61B1E">
              <w:rPr>
                <w:rFonts w:ascii="Times New Roman" w:eastAsia="Times New Roman" w:hAnsi="Times New Roman" w:cs="Times New Roman"/>
                <w:b/>
                <w:bCs/>
                <w:sz w:val="24"/>
                <w:szCs w:val="24"/>
                <w:lang w:eastAsia="en-IN" w:bidi="hi-IN"/>
              </w:rPr>
              <w:t>Measurability</w:t>
            </w: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en-IN" w:bidi="hi-IN"/>
              </w:rPr>
            </w:pPr>
          </w:p>
          <w:p w:rsidR="00574791"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 </w:t>
            </w:r>
          </w:p>
        </w:tc>
        <w:tc>
          <w:tcPr>
            <w:tcW w:w="2409" w:type="dxa"/>
            <w:vMerge/>
            <w:tcBorders>
              <w:right w:val="nil"/>
            </w:tcBorders>
          </w:tcPr>
          <w:p w:rsidR="00574791" w:rsidRPr="009103A8"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tc>
        <w:tc>
          <w:tcPr>
            <w:tcW w:w="2694" w:type="dxa"/>
            <w:vMerge/>
            <w:tcBorders>
              <w:left w:val="nil"/>
              <w:right w:val="nil"/>
            </w:tcBorders>
          </w:tcPr>
          <w:p w:rsidR="00574791" w:rsidRPr="009103A8"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p>
        </w:tc>
        <w:tc>
          <w:tcPr>
            <w:tcW w:w="2551" w:type="dxa"/>
            <w:tcBorders>
              <w:top w:val="nil"/>
              <w:left w:val="nil"/>
              <w:right w:val="single" w:sz="4" w:space="0" w:color="auto"/>
            </w:tcBorders>
          </w:tcPr>
          <w:p w:rsidR="00574791" w:rsidRPr="009103A8" w:rsidRDefault="00574791" w:rsidP="003B1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en-IN" w:bidi="hi-IN"/>
              </w:rPr>
            </w:pPr>
            <w:r w:rsidRPr="00037185">
              <w:rPr>
                <w:rFonts w:ascii="Times New Roman" w:eastAsia="Times New Roman" w:hAnsi="Times New Roman" w:cs="Times New Roman"/>
                <w:b/>
                <w:bCs/>
                <w:noProof/>
                <w:sz w:val="24"/>
                <w:szCs w:val="24"/>
                <w:lang w:eastAsia="en-IN" w:bidi="hi-IN"/>
              </w:rPr>
              <w:drawing>
                <wp:inline distT="0" distB="0" distL="0" distR="0">
                  <wp:extent cx="1595547" cy="972000"/>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595547" cy="972000"/>
                          </a:xfrm>
                          <a:prstGeom prst="rect">
                            <a:avLst/>
                          </a:prstGeom>
                          <a:noFill/>
                          <a:ln w="9525">
                            <a:noFill/>
                            <a:miter lim="800000"/>
                            <a:headEnd/>
                            <a:tailEnd/>
                          </a:ln>
                        </pic:spPr>
                      </pic:pic>
                    </a:graphicData>
                  </a:graphic>
                </wp:inline>
              </w:drawing>
            </w:r>
          </w:p>
        </w:tc>
      </w:tr>
    </w:tbl>
    <w:p w:rsidR="000C04EF" w:rsidRDefault="00CF509C"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noProof/>
          <w:sz w:val="24"/>
          <w:szCs w:val="24"/>
          <w:lang w:eastAsia="en-IN" w:bidi="hi-IN"/>
        </w:rPr>
        <w:pict>
          <v:shape id="_x0000_s1048" type="#_x0000_t202" style="position:absolute;left:0;text-align:left;margin-left:-6.5pt;margin-top:210.45pt;width:464.25pt;height:48.75pt;z-index:251686912;mso-position-horizontal-relative:text;mso-position-vertical-relative:text" strokecolor="white [3212]">
            <v:textbox style="mso-next-textbox:#_x0000_s1048">
              <w:txbxContent>
                <w:p w:rsidR="00037185" w:rsidRPr="009103A8" w:rsidRDefault="00037185" w:rsidP="00037185">
                  <w:pPr>
                    <w:spacing w:after="0"/>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Figure 2</w:t>
                  </w:r>
                  <w:r w:rsidRPr="009103A8">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Make or Buy Decisions</w:t>
                  </w:r>
                </w:p>
                <w:p w:rsidR="00037185" w:rsidRDefault="00037185" w:rsidP="00037185">
                  <w:pPr>
                    <w:spacing w:after="0"/>
                    <w:jc w:val="right"/>
                    <w:rPr>
                      <w:lang w:val="en-US"/>
                    </w:rPr>
                  </w:pPr>
                  <w:r w:rsidRPr="009103A8">
                    <w:rPr>
                      <w:i/>
                      <w:iCs/>
                      <w:lang w:val="en-US"/>
                    </w:rPr>
                    <w:t>Source:</w:t>
                  </w:r>
                  <w:r>
                    <w:rPr>
                      <w:lang w:val="en-US"/>
                    </w:rPr>
                    <w:t xml:space="preserve">  Adapted from </w:t>
                  </w:r>
                  <w:proofErr w:type="spellStart"/>
                  <w:r>
                    <w:rPr>
                      <w:lang w:val="en-US"/>
                    </w:rPr>
                    <w:t>Preker</w:t>
                  </w:r>
                  <w:proofErr w:type="spellEnd"/>
                  <w:r>
                    <w:rPr>
                      <w:lang w:val="en-US"/>
                    </w:rPr>
                    <w:t xml:space="preserve"> et al., 2000</w:t>
                  </w:r>
                </w:p>
                <w:p w:rsidR="00037185" w:rsidRPr="009103A8" w:rsidRDefault="00037185" w:rsidP="00037185">
                  <w:pPr>
                    <w:rPr>
                      <w:lang w:val="en-US"/>
                    </w:rPr>
                  </w:pPr>
                </w:p>
              </w:txbxContent>
            </v:textbox>
          </v:shape>
        </w:pict>
      </w:r>
    </w:p>
    <w:p w:rsidR="000C04EF" w:rsidRDefault="000C04EF" w:rsidP="009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p>
    <w:p w:rsidR="00D65862" w:rsidRDefault="00D65862">
      <w:pPr>
        <w:rPr>
          <w:rFonts w:ascii="Times New Roman" w:eastAsia="Times New Roman" w:hAnsi="Times New Roman" w:cs="Times New Roman"/>
          <w:sz w:val="24"/>
          <w:szCs w:val="24"/>
          <w:lang w:eastAsia="en-IN" w:bidi="hi-IN"/>
        </w:rPr>
      </w:pPr>
    </w:p>
    <w:p w:rsidR="009275F7" w:rsidRDefault="009275F7" w:rsidP="00BD0B68">
      <w:pPr>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The guidance matrix guides the decision maker to </w:t>
      </w:r>
      <w:r w:rsidR="00BD0B68">
        <w:rPr>
          <w:rFonts w:ascii="Times New Roman" w:eastAsia="Times New Roman" w:hAnsi="Times New Roman" w:cs="Times New Roman"/>
          <w:sz w:val="24"/>
          <w:szCs w:val="24"/>
          <w:lang w:eastAsia="en-IN" w:bidi="hi-IN"/>
        </w:rPr>
        <w:t xml:space="preserve">take the “make” or “buy” decisions. The matrix shows that </w:t>
      </w:r>
      <w:r w:rsidR="002C0ECD">
        <w:rPr>
          <w:rFonts w:ascii="Times New Roman" w:eastAsia="Times New Roman" w:hAnsi="Times New Roman" w:cs="Times New Roman"/>
          <w:sz w:val="24"/>
          <w:szCs w:val="24"/>
          <w:lang w:eastAsia="en-IN" w:bidi="hi-IN"/>
        </w:rPr>
        <w:t>while</w:t>
      </w:r>
      <w:r w:rsidR="00BD0B68">
        <w:rPr>
          <w:rFonts w:ascii="Times New Roman" w:eastAsia="Times New Roman" w:hAnsi="Times New Roman" w:cs="Times New Roman"/>
          <w:sz w:val="24"/>
          <w:szCs w:val="24"/>
          <w:lang w:eastAsia="en-IN" w:bidi="hi-IN"/>
        </w:rPr>
        <w:t xml:space="preserve"> goods or services which are having high </w:t>
      </w:r>
      <w:r w:rsidR="002C0ECD">
        <w:rPr>
          <w:rFonts w:ascii="Times New Roman" w:eastAsia="Times New Roman" w:hAnsi="Times New Roman" w:cs="Times New Roman"/>
          <w:sz w:val="24"/>
          <w:szCs w:val="24"/>
          <w:lang w:eastAsia="en-IN" w:bidi="hi-IN"/>
        </w:rPr>
        <w:t xml:space="preserve">to moderate </w:t>
      </w:r>
      <w:r w:rsidR="00BD0B68">
        <w:rPr>
          <w:rFonts w:ascii="Times New Roman" w:eastAsia="Times New Roman" w:hAnsi="Times New Roman" w:cs="Times New Roman"/>
          <w:sz w:val="24"/>
          <w:szCs w:val="24"/>
          <w:lang w:eastAsia="en-IN" w:bidi="hi-IN"/>
        </w:rPr>
        <w:t>contestability and measurability, like the consumables</w:t>
      </w:r>
      <w:r w:rsidR="002C0ECD">
        <w:rPr>
          <w:rFonts w:ascii="Times New Roman" w:eastAsia="Times New Roman" w:hAnsi="Times New Roman" w:cs="Times New Roman"/>
          <w:sz w:val="24"/>
          <w:szCs w:val="24"/>
          <w:lang w:eastAsia="en-IN" w:bidi="hi-IN"/>
        </w:rPr>
        <w:t xml:space="preserve"> or the non-clinical services</w:t>
      </w:r>
      <w:r w:rsidR="00BD0B68">
        <w:rPr>
          <w:rFonts w:ascii="Times New Roman" w:eastAsia="Times New Roman" w:hAnsi="Times New Roman" w:cs="Times New Roman"/>
          <w:sz w:val="24"/>
          <w:szCs w:val="24"/>
          <w:lang w:eastAsia="en-IN" w:bidi="hi-IN"/>
        </w:rPr>
        <w:t xml:space="preserve">, </w:t>
      </w:r>
      <w:r w:rsidR="002C0ECD">
        <w:rPr>
          <w:rFonts w:ascii="Times New Roman" w:eastAsia="Times New Roman" w:hAnsi="Times New Roman" w:cs="Times New Roman"/>
          <w:sz w:val="24"/>
          <w:szCs w:val="24"/>
          <w:lang w:eastAsia="en-IN" w:bidi="hi-IN"/>
        </w:rPr>
        <w:t xml:space="preserve">can </w:t>
      </w:r>
      <w:r w:rsidR="00AA1787">
        <w:rPr>
          <w:rFonts w:ascii="Times New Roman" w:eastAsia="Times New Roman" w:hAnsi="Times New Roman" w:cs="Times New Roman"/>
          <w:sz w:val="24"/>
          <w:szCs w:val="24"/>
          <w:lang w:eastAsia="en-IN" w:bidi="hi-IN"/>
        </w:rPr>
        <w:t xml:space="preserve">still </w:t>
      </w:r>
      <w:r w:rsidR="002C0ECD">
        <w:rPr>
          <w:rFonts w:ascii="Times New Roman" w:eastAsia="Times New Roman" w:hAnsi="Times New Roman" w:cs="Times New Roman"/>
          <w:sz w:val="24"/>
          <w:szCs w:val="24"/>
          <w:lang w:eastAsia="en-IN" w:bidi="hi-IN"/>
        </w:rPr>
        <w:t>be</w:t>
      </w:r>
      <w:r w:rsidR="00BD0B68">
        <w:rPr>
          <w:rFonts w:ascii="Times New Roman" w:eastAsia="Times New Roman" w:hAnsi="Times New Roman" w:cs="Times New Roman"/>
          <w:sz w:val="24"/>
          <w:szCs w:val="24"/>
          <w:lang w:eastAsia="en-IN" w:bidi="hi-IN"/>
        </w:rPr>
        <w:t xml:space="preserve"> left to the marke</w:t>
      </w:r>
      <w:r w:rsidR="00AA1787">
        <w:rPr>
          <w:rFonts w:ascii="Times New Roman" w:eastAsia="Times New Roman" w:hAnsi="Times New Roman" w:cs="Times New Roman"/>
          <w:sz w:val="24"/>
          <w:szCs w:val="24"/>
          <w:lang w:eastAsia="en-IN" w:bidi="hi-IN"/>
        </w:rPr>
        <w:t>t, the more difficult options of clinical interventions, public health functions, quality in-patient care, inter-</w:t>
      </w:r>
      <w:proofErr w:type="spellStart"/>
      <w:r w:rsidR="00AA1787">
        <w:rPr>
          <w:rFonts w:ascii="Times New Roman" w:eastAsia="Times New Roman" w:hAnsi="Times New Roman" w:cs="Times New Roman"/>
          <w:sz w:val="24"/>
          <w:szCs w:val="24"/>
          <w:lang w:eastAsia="en-IN" w:bidi="hi-IN"/>
        </w:rPr>
        <w:t>sectoral</w:t>
      </w:r>
      <w:proofErr w:type="spellEnd"/>
      <w:r w:rsidR="00AA1787">
        <w:rPr>
          <w:rFonts w:ascii="Times New Roman" w:eastAsia="Times New Roman" w:hAnsi="Times New Roman" w:cs="Times New Roman"/>
          <w:sz w:val="24"/>
          <w:szCs w:val="24"/>
          <w:lang w:eastAsia="en-IN" w:bidi="hi-IN"/>
        </w:rPr>
        <w:t xml:space="preserve"> action which are difficult to measure </w:t>
      </w:r>
      <w:r w:rsidR="004B7FB9">
        <w:rPr>
          <w:rFonts w:ascii="Times New Roman" w:eastAsia="Times New Roman" w:hAnsi="Times New Roman" w:cs="Times New Roman"/>
          <w:sz w:val="24"/>
          <w:szCs w:val="24"/>
          <w:lang w:eastAsia="en-IN" w:bidi="hi-IN"/>
        </w:rPr>
        <w:t xml:space="preserve">are difficult to be contracted out. Some of the functions like </w:t>
      </w:r>
      <w:r w:rsidR="00BD0B68">
        <w:rPr>
          <w:rFonts w:ascii="Times New Roman" w:eastAsia="Times New Roman" w:hAnsi="Times New Roman" w:cs="Times New Roman"/>
          <w:sz w:val="24"/>
          <w:szCs w:val="24"/>
          <w:lang w:eastAsia="en-IN" w:bidi="hi-IN"/>
        </w:rPr>
        <w:t xml:space="preserve">outpatient and ambulatory services </w:t>
      </w:r>
      <w:r w:rsidR="004B7FB9">
        <w:rPr>
          <w:rFonts w:ascii="Times New Roman" w:eastAsia="Times New Roman" w:hAnsi="Times New Roman" w:cs="Times New Roman"/>
          <w:sz w:val="24"/>
          <w:szCs w:val="24"/>
          <w:lang w:eastAsia="en-IN" w:bidi="hi-IN"/>
        </w:rPr>
        <w:t>may be</w:t>
      </w:r>
      <w:r w:rsidR="00BD0B68">
        <w:rPr>
          <w:rFonts w:ascii="Times New Roman" w:eastAsia="Times New Roman" w:hAnsi="Times New Roman" w:cs="Times New Roman"/>
          <w:sz w:val="24"/>
          <w:szCs w:val="24"/>
          <w:lang w:eastAsia="en-IN" w:bidi="hi-IN"/>
        </w:rPr>
        <w:t xml:space="preserve"> “contracted out” </w:t>
      </w:r>
      <w:r w:rsidR="00064059">
        <w:rPr>
          <w:rFonts w:ascii="Times New Roman" w:eastAsia="Times New Roman" w:hAnsi="Times New Roman" w:cs="Times New Roman"/>
          <w:sz w:val="24"/>
          <w:szCs w:val="24"/>
          <w:lang w:eastAsia="en-IN" w:bidi="hi-IN"/>
        </w:rPr>
        <w:t>through strict regulation</w:t>
      </w:r>
      <w:r w:rsidR="00403B2A">
        <w:rPr>
          <w:rStyle w:val="EndnoteReference"/>
          <w:rFonts w:ascii="Times New Roman" w:eastAsia="Times New Roman" w:hAnsi="Times New Roman" w:cs="Times New Roman"/>
          <w:sz w:val="24"/>
          <w:szCs w:val="24"/>
          <w:lang w:eastAsia="en-IN" w:bidi="hi-IN"/>
        </w:rPr>
        <w:endnoteReference w:id="3"/>
      </w:r>
      <w:r w:rsidR="00064059">
        <w:rPr>
          <w:rFonts w:ascii="Times New Roman" w:eastAsia="Times New Roman" w:hAnsi="Times New Roman" w:cs="Times New Roman"/>
          <w:sz w:val="24"/>
          <w:szCs w:val="24"/>
          <w:lang w:eastAsia="en-IN" w:bidi="hi-IN"/>
        </w:rPr>
        <w:t xml:space="preserve">. </w:t>
      </w:r>
    </w:p>
    <w:p w:rsidR="00232482" w:rsidRDefault="00232482" w:rsidP="0044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en-IN" w:bidi="hi-IN"/>
        </w:rPr>
      </w:pPr>
    </w:p>
    <w:p w:rsidR="00CA5753" w:rsidRDefault="009B0473" w:rsidP="0044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en-IN" w:bidi="hi-IN"/>
        </w:rPr>
      </w:pPr>
      <w:r>
        <w:rPr>
          <w:rFonts w:ascii="Times New Roman" w:eastAsia="Times New Roman" w:hAnsi="Times New Roman" w:cs="Times New Roman"/>
          <w:b/>
          <w:bCs/>
          <w:sz w:val="24"/>
          <w:szCs w:val="24"/>
          <w:lang w:eastAsia="en-IN" w:bidi="hi-IN"/>
        </w:rPr>
        <w:lastRenderedPageBreak/>
        <w:t xml:space="preserve">3.0 </w:t>
      </w:r>
      <w:r>
        <w:rPr>
          <w:rFonts w:ascii="Times New Roman" w:eastAsia="Times New Roman" w:hAnsi="Times New Roman" w:cs="Times New Roman"/>
          <w:b/>
          <w:bCs/>
          <w:sz w:val="24"/>
          <w:szCs w:val="24"/>
          <w:lang w:eastAsia="en-IN" w:bidi="hi-IN"/>
        </w:rPr>
        <w:tab/>
      </w:r>
      <w:r w:rsidR="00CA5753" w:rsidRPr="00CA5753">
        <w:rPr>
          <w:rFonts w:ascii="Times New Roman" w:eastAsia="Times New Roman" w:hAnsi="Times New Roman" w:cs="Times New Roman"/>
          <w:b/>
          <w:bCs/>
          <w:sz w:val="24"/>
          <w:szCs w:val="24"/>
          <w:lang w:eastAsia="en-IN" w:bidi="hi-IN"/>
        </w:rPr>
        <w:t>Ex-Ante Competition</w:t>
      </w:r>
      <w:r w:rsidR="00CA5753">
        <w:rPr>
          <w:rFonts w:ascii="Times New Roman" w:eastAsia="Times New Roman" w:hAnsi="Times New Roman" w:cs="Times New Roman"/>
          <w:b/>
          <w:bCs/>
          <w:sz w:val="24"/>
          <w:szCs w:val="24"/>
          <w:lang w:eastAsia="en-IN" w:bidi="hi-IN"/>
        </w:rPr>
        <w:t xml:space="preserve"> through PPPs</w:t>
      </w:r>
    </w:p>
    <w:p w:rsidR="00CA5753" w:rsidRPr="00CA5753" w:rsidRDefault="00CA5753" w:rsidP="00446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en-IN" w:bidi="hi-IN"/>
        </w:rPr>
      </w:pPr>
    </w:p>
    <w:p w:rsidR="00485451" w:rsidRDefault="0044661C"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The economic logic for “contracting out” healthcare services is to provide for ex-ante competition – competition for the market as against the conventional competition within the market to increase efficiencies</w:t>
      </w:r>
      <w:r>
        <w:rPr>
          <w:rStyle w:val="EndnoteReference"/>
          <w:rFonts w:ascii="Times New Roman" w:eastAsia="Times New Roman" w:hAnsi="Times New Roman" w:cs="Times New Roman"/>
          <w:sz w:val="24"/>
          <w:szCs w:val="24"/>
          <w:lang w:eastAsia="en-IN" w:bidi="hi-IN"/>
        </w:rPr>
        <w:endnoteReference w:id="4"/>
      </w:r>
      <w:r w:rsidR="001A50BB">
        <w:rPr>
          <w:rFonts w:ascii="Times New Roman" w:eastAsia="Times New Roman" w:hAnsi="Times New Roman" w:cs="Times New Roman"/>
          <w:sz w:val="24"/>
          <w:szCs w:val="24"/>
          <w:lang w:eastAsia="en-IN" w:bidi="hi-IN"/>
        </w:rPr>
        <w:t xml:space="preserve">. </w:t>
      </w:r>
      <w:r w:rsidR="005262C3">
        <w:rPr>
          <w:rFonts w:ascii="Times New Roman" w:eastAsia="Times New Roman" w:hAnsi="Times New Roman" w:cs="Times New Roman"/>
          <w:sz w:val="24"/>
          <w:szCs w:val="24"/>
          <w:lang w:eastAsia="en-IN" w:bidi="hi-IN"/>
        </w:rPr>
        <w:t xml:space="preserve">In a recent study of sixteen various types of PPPs in India, </w:t>
      </w:r>
      <w:r w:rsidR="00BB2044">
        <w:rPr>
          <w:rFonts w:ascii="Times New Roman" w:eastAsia="Times New Roman" w:hAnsi="Times New Roman" w:cs="Times New Roman"/>
          <w:sz w:val="24"/>
          <w:szCs w:val="24"/>
          <w:lang w:eastAsia="en-IN" w:bidi="hi-IN"/>
        </w:rPr>
        <w:t xml:space="preserve">only three were done through open-tender process </w:t>
      </w:r>
      <w:r w:rsidR="00CA5753">
        <w:rPr>
          <w:rFonts w:ascii="Times New Roman" w:eastAsia="Times New Roman" w:hAnsi="Times New Roman" w:cs="Times New Roman"/>
          <w:sz w:val="24"/>
          <w:szCs w:val="24"/>
          <w:lang w:eastAsia="en-IN" w:bidi="hi-IN"/>
        </w:rPr>
        <w:t>and the rest relied more on ‘consultations’ between the service provider and the public system</w:t>
      </w:r>
      <w:r w:rsidR="00CA5753">
        <w:rPr>
          <w:rStyle w:val="EndnoteReference"/>
          <w:rFonts w:ascii="Times New Roman" w:eastAsia="Times New Roman" w:hAnsi="Times New Roman" w:cs="Times New Roman"/>
          <w:sz w:val="24"/>
          <w:szCs w:val="24"/>
          <w:lang w:eastAsia="en-IN" w:bidi="hi-IN"/>
        </w:rPr>
        <w:endnoteReference w:id="5"/>
      </w:r>
      <w:r w:rsidR="00CA5753">
        <w:rPr>
          <w:rFonts w:ascii="Times New Roman" w:eastAsia="Times New Roman" w:hAnsi="Times New Roman" w:cs="Times New Roman"/>
          <w:sz w:val="24"/>
          <w:szCs w:val="24"/>
          <w:lang w:eastAsia="en-IN" w:bidi="hi-IN"/>
        </w:rPr>
        <w:t>. S</w:t>
      </w:r>
      <w:r w:rsidR="00BB2044">
        <w:rPr>
          <w:rFonts w:ascii="Times New Roman" w:eastAsia="Times New Roman" w:hAnsi="Times New Roman" w:cs="Times New Roman"/>
          <w:sz w:val="24"/>
          <w:szCs w:val="24"/>
          <w:lang w:eastAsia="en-IN" w:bidi="hi-IN"/>
        </w:rPr>
        <w:t xml:space="preserve">o </w:t>
      </w:r>
      <w:r w:rsidR="00CA5753">
        <w:rPr>
          <w:rFonts w:ascii="Times New Roman" w:eastAsia="Times New Roman" w:hAnsi="Times New Roman" w:cs="Times New Roman"/>
          <w:sz w:val="24"/>
          <w:szCs w:val="24"/>
          <w:lang w:eastAsia="en-IN" w:bidi="hi-IN"/>
        </w:rPr>
        <w:t xml:space="preserve">in the absence of ex-ante competition, </w:t>
      </w:r>
      <w:r w:rsidR="00BB2044">
        <w:rPr>
          <w:rFonts w:ascii="Times New Roman" w:eastAsia="Times New Roman" w:hAnsi="Times New Roman" w:cs="Times New Roman"/>
          <w:sz w:val="24"/>
          <w:szCs w:val="24"/>
          <w:lang w:eastAsia="en-IN" w:bidi="hi-IN"/>
        </w:rPr>
        <w:t xml:space="preserve">the ‘value for money’ sought to be derived </w:t>
      </w:r>
      <w:r w:rsidR="005262C3">
        <w:rPr>
          <w:rFonts w:ascii="Times New Roman" w:eastAsia="Times New Roman" w:hAnsi="Times New Roman" w:cs="Times New Roman"/>
          <w:sz w:val="24"/>
          <w:szCs w:val="24"/>
          <w:lang w:eastAsia="en-IN" w:bidi="hi-IN"/>
        </w:rPr>
        <w:t xml:space="preserve">is lost. </w:t>
      </w:r>
      <w:r w:rsidR="007411B6" w:rsidRPr="008151A8">
        <w:rPr>
          <w:rFonts w:ascii="Times New Roman" w:eastAsia="Times New Roman" w:hAnsi="Times New Roman" w:cs="Times New Roman"/>
          <w:sz w:val="24"/>
          <w:szCs w:val="24"/>
          <w:lang w:eastAsia="en-IN" w:bidi="hi-IN"/>
        </w:rPr>
        <w:t xml:space="preserve">There are </w:t>
      </w:r>
      <w:r w:rsidRPr="008151A8">
        <w:rPr>
          <w:rFonts w:ascii="Times New Roman" w:eastAsia="Times New Roman" w:hAnsi="Times New Roman" w:cs="Times New Roman"/>
          <w:sz w:val="24"/>
          <w:szCs w:val="24"/>
          <w:lang w:eastAsia="en-IN" w:bidi="hi-IN"/>
        </w:rPr>
        <w:t xml:space="preserve">transaction </w:t>
      </w:r>
      <w:r w:rsidR="00080A37" w:rsidRPr="008151A8">
        <w:rPr>
          <w:rFonts w:ascii="Times New Roman" w:eastAsia="Times New Roman" w:hAnsi="Times New Roman" w:cs="Times New Roman"/>
          <w:sz w:val="24"/>
          <w:szCs w:val="24"/>
          <w:lang w:eastAsia="en-IN" w:bidi="hi-IN"/>
        </w:rPr>
        <w:t>cost</w:t>
      </w:r>
      <w:r w:rsidR="00CA5753" w:rsidRPr="008151A8">
        <w:rPr>
          <w:rFonts w:ascii="Times New Roman" w:eastAsia="Times New Roman" w:hAnsi="Times New Roman" w:cs="Times New Roman"/>
          <w:sz w:val="24"/>
          <w:szCs w:val="24"/>
          <w:lang w:eastAsia="en-IN" w:bidi="hi-IN"/>
        </w:rPr>
        <w:t xml:space="preserve">s </w:t>
      </w:r>
      <w:r w:rsidR="00080A37" w:rsidRPr="008151A8">
        <w:rPr>
          <w:rFonts w:ascii="Times New Roman" w:eastAsia="Times New Roman" w:hAnsi="Times New Roman" w:cs="Times New Roman"/>
          <w:sz w:val="24"/>
          <w:szCs w:val="24"/>
          <w:lang w:eastAsia="en-IN" w:bidi="hi-IN"/>
        </w:rPr>
        <w:t>associate</w:t>
      </w:r>
      <w:r w:rsidR="00023A37" w:rsidRPr="008151A8">
        <w:rPr>
          <w:rFonts w:ascii="Times New Roman" w:eastAsia="Times New Roman" w:hAnsi="Times New Roman" w:cs="Times New Roman"/>
          <w:sz w:val="24"/>
          <w:szCs w:val="24"/>
          <w:lang w:eastAsia="en-IN" w:bidi="hi-IN"/>
        </w:rPr>
        <w:t xml:space="preserve">d with </w:t>
      </w:r>
      <w:r w:rsidR="005C28D7" w:rsidRPr="008151A8">
        <w:rPr>
          <w:rFonts w:ascii="Times New Roman" w:eastAsia="Times New Roman" w:hAnsi="Times New Roman" w:cs="Times New Roman"/>
          <w:sz w:val="24"/>
          <w:szCs w:val="24"/>
          <w:lang w:eastAsia="en-IN" w:bidi="hi-IN"/>
        </w:rPr>
        <w:t>contracting process</w:t>
      </w:r>
      <w:r w:rsidR="007411B6" w:rsidRPr="008151A8">
        <w:rPr>
          <w:rFonts w:ascii="Times New Roman" w:eastAsia="Times New Roman" w:hAnsi="Times New Roman" w:cs="Times New Roman"/>
          <w:sz w:val="24"/>
          <w:szCs w:val="24"/>
          <w:lang w:eastAsia="en-IN" w:bidi="hi-IN"/>
        </w:rPr>
        <w:t>es</w:t>
      </w:r>
      <w:r w:rsidR="005C28D7" w:rsidRPr="008151A8">
        <w:rPr>
          <w:rFonts w:ascii="Times New Roman" w:eastAsia="Times New Roman" w:hAnsi="Times New Roman" w:cs="Times New Roman"/>
          <w:sz w:val="24"/>
          <w:szCs w:val="24"/>
          <w:lang w:eastAsia="en-IN" w:bidi="hi-IN"/>
        </w:rPr>
        <w:t xml:space="preserve"> namely writing of specifications for tenders, tender evaluati</w:t>
      </w:r>
      <w:r w:rsidR="00A76C8B" w:rsidRPr="008151A8">
        <w:rPr>
          <w:rFonts w:ascii="Times New Roman" w:eastAsia="Times New Roman" w:hAnsi="Times New Roman" w:cs="Times New Roman"/>
          <w:sz w:val="24"/>
          <w:szCs w:val="24"/>
          <w:lang w:eastAsia="en-IN" w:bidi="hi-IN"/>
        </w:rPr>
        <w:t>ons</w:t>
      </w:r>
      <w:r w:rsidR="005C28D7" w:rsidRPr="008151A8">
        <w:rPr>
          <w:rFonts w:ascii="Times New Roman" w:eastAsia="Times New Roman" w:hAnsi="Times New Roman" w:cs="Times New Roman"/>
          <w:sz w:val="24"/>
          <w:szCs w:val="24"/>
          <w:lang w:eastAsia="en-IN" w:bidi="hi-IN"/>
        </w:rPr>
        <w:t xml:space="preserve"> and negotiations</w:t>
      </w:r>
      <w:r w:rsidR="00CA5753" w:rsidRPr="008151A8">
        <w:rPr>
          <w:rFonts w:ascii="Times New Roman" w:eastAsia="Times New Roman" w:hAnsi="Times New Roman" w:cs="Times New Roman"/>
          <w:sz w:val="24"/>
          <w:szCs w:val="24"/>
          <w:lang w:eastAsia="en-IN" w:bidi="hi-IN"/>
        </w:rPr>
        <w:t xml:space="preserve">. These costs can be </w:t>
      </w:r>
      <w:r w:rsidR="005C28D7" w:rsidRPr="008151A8">
        <w:rPr>
          <w:rFonts w:ascii="Times New Roman" w:eastAsia="Times New Roman" w:hAnsi="Times New Roman" w:cs="Times New Roman"/>
          <w:sz w:val="24"/>
          <w:szCs w:val="24"/>
          <w:lang w:eastAsia="en-IN" w:bidi="hi-IN"/>
        </w:rPr>
        <w:t>very high</w:t>
      </w:r>
      <w:r w:rsidR="000E6C9D">
        <w:rPr>
          <w:rFonts w:ascii="Times New Roman" w:eastAsia="Times New Roman" w:hAnsi="Times New Roman" w:cs="Times New Roman"/>
          <w:sz w:val="24"/>
          <w:szCs w:val="24"/>
          <w:lang w:eastAsia="en-IN" w:bidi="hi-IN"/>
        </w:rPr>
        <w:t xml:space="preserve"> resulting in loss of ‘value for </w:t>
      </w:r>
      <w:proofErr w:type="gramStart"/>
      <w:r w:rsidR="000E6C9D">
        <w:rPr>
          <w:rFonts w:ascii="Times New Roman" w:eastAsia="Times New Roman" w:hAnsi="Times New Roman" w:cs="Times New Roman"/>
          <w:sz w:val="24"/>
          <w:szCs w:val="24"/>
          <w:lang w:eastAsia="en-IN" w:bidi="hi-IN"/>
        </w:rPr>
        <w:t>money’</w:t>
      </w:r>
      <w:r w:rsidR="00A76C8B" w:rsidRPr="008151A8">
        <w:rPr>
          <w:rFonts w:ascii="Times New Roman" w:eastAsia="Times New Roman" w:hAnsi="Times New Roman" w:cs="Times New Roman"/>
          <w:sz w:val="24"/>
          <w:szCs w:val="24"/>
          <w:lang w:eastAsia="en-IN" w:bidi="hi-IN"/>
        </w:rPr>
        <w:t xml:space="preserve"> </w:t>
      </w:r>
      <w:proofErr w:type="gramEnd"/>
      <w:r w:rsidR="00A76C8B" w:rsidRPr="008151A8">
        <w:rPr>
          <w:rStyle w:val="EndnoteReference"/>
          <w:rFonts w:ascii="Times New Roman" w:eastAsia="Times New Roman" w:hAnsi="Times New Roman" w:cs="Times New Roman"/>
          <w:sz w:val="24"/>
          <w:szCs w:val="24"/>
          <w:lang w:eastAsia="en-IN" w:bidi="hi-IN"/>
        </w:rPr>
        <w:endnoteReference w:id="6"/>
      </w:r>
      <w:r w:rsidR="005C28D7" w:rsidRPr="008151A8">
        <w:rPr>
          <w:rFonts w:ascii="Times New Roman" w:eastAsia="Times New Roman" w:hAnsi="Times New Roman" w:cs="Times New Roman"/>
          <w:sz w:val="24"/>
          <w:szCs w:val="24"/>
          <w:lang w:eastAsia="en-IN" w:bidi="hi-IN"/>
        </w:rPr>
        <w:t xml:space="preserve">. </w:t>
      </w:r>
    </w:p>
    <w:p w:rsidR="00485451" w:rsidRDefault="00485451"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p>
    <w:p w:rsidR="0044661C" w:rsidRDefault="00987239"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sidRPr="008151A8">
        <w:rPr>
          <w:rFonts w:ascii="Times New Roman" w:eastAsia="Times New Roman" w:hAnsi="Times New Roman" w:cs="Times New Roman"/>
          <w:sz w:val="24"/>
          <w:szCs w:val="24"/>
          <w:lang w:eastAsia="en-IN" w:bidi="hi-IN"/>
        </w:rPr>
        <w:t>Transaction cost economi</w:t>
      </w:r>
      <w:r w:rsidR="00BB6614" w:rsidRPr="008151A8">
        <w:rPr>
          <w:rFonts w:ascii="Times New Roman" w:eastAsia="Times New Roman" w:hAnsi="Times New Roman" w:cs="Times New Roman"/>
          <w:sz w:val="24"/>
          <w:szCs w:val="24"/>
          <w:lang w:eastAsia="en-IN" w:bidi="hi-IN"/>
        </w:rPr>
        <w:t xml:space="preserve">cs </w:t>
      </w:r>
      <w:r w:rsidR="00BD5EB9" w:rsidRPr="008151A8">
        <w:rPr>
          <w:rFonts w:ascii="Times New Roman" w:hAnsi="Times New Roman"/>
          <w:sz w:val="24"/>
          <w:szCs w:val="24"/>
        </w:rPr>
        <w:t>recognises the limits to which contracts can be written in complete detail taking care of all post-contractual eventualities</w:t>
      </w:r>
      <w:r w:rsidR="008E1E9B" w:rsidRPr="008151A8">
        <w:rPr>
          <w:rFonts w:ascii="Times New Roman" w:hAnsi="Times New Roman"/>
          <w:sz w:val="24"/>
          <w:szCs w:val="24"/>
        </w:rPr>
        <w:t xml:space="preserve"> and when contract</w:t>
      </w:r>
      <w:r w:rsidR="003D2128">
        <w:rPr>
          <w:rFonts w:ascii="Times New Roman" w:hAnsi="Times New Roman"/>
          <w:sz w:val="24"/>
          <w:szCs w:val="24"/>
        </w:rPr>
        <w:t>s</w:t>
      </w:r>
      <w:r w:rsidR="008E1E9B" w:rsidRPr="008151A8">
        <w:rPr>
          <w:rFonts w:ascii="Times New Roman" w:hAnsi="Times New Roman"/>
          <w:sz w:val="24"/>
          <w:szCs w:val="24"/>
        </w:rPr>
        <w:t xml:space="preserve"> involve high </w:t>
      </w:r>
      <w:r w:rsidR="00BD5EB9" w:rsidRPr="008151A8">
        <w:rPr>
          <w:rFonts w:ascii="Times New Roman" w:hAnsi="Times New Roman"/>
          <w:sz w:val="24"/>
          <w:szCs w:val="24"/>
        </w:rPr>
        <w:t>asset-specificity (transaction-specific investments)</w:t>
      </w:r>
      <w:r w:rsidR="008E1E9B" w:rsidRPr="008151A8">
        <w:rPr>
          <w:rFonts w:ascii="Times New Roman" w:hAnsi="Times New Roman"/>
          <w:sz w:val="24"/>
          <w:szCs w:val="24"/>
        </w:rPr>
        <w:t xml:space="preserve">, as in clinical services provision, the uncertainty </w:t>
      </w:r>
      <w:r w:rsidR="00BD5EB9" w:rsidRPr="008151A8">
        <w:rPr>
          <w:rFonts w:ascii="Times New Roman" w:hAnsi="Times New Roman"/>
          <w:sz w:val="24"/>
          <w:szCs w:val="24"/>
        </w:rPr>
        <w:t>brings out the chances for opportunistic behaviour of the contractual partners.</w:t>
      </w:r>
      <w:r w:rsidR="008151A8" w:rsidRPr="008151A8">
        <w:rPr>
          <w:rFonts w:ascii="Times New Roman" w:hAnsi="Times New Roman"/>
          <w:sz w:val="24"/>
          <w:szCs w:val="24"/>
        </w:rPr>
        <w:t xml:space="preserve"> Due to the complexity of the </w:t>
      </w:r>
      <w:r w:rsidR="00485451">
        <w:rPr>
          <w:rFonts w:ascii="Times New Roman" w:hAnsi="Times New Roman"/>
          <w:sz w:val="24"/>
          <w:szCs w:val="24"/>
        </w:rPr>
        <w:t xml:space="preserve">healthcare </w:t>
      </w:r>
      <w:r w:rsidR="008151A8" w:rsidRPr="008151A8">
        <w:rPr>
          <w:rFonts w:ascii="Times New Roman" w:hAnsi="Times New Roman"/>
          <w:sz w:val="24"/>
          <w:szCs w:val="24"/>
        </w:rPr>
        <w:t xml:space="preserve">projects, </w:t>
      </w:r>
      <w:r w:rsidR="008151A8">
        <w:rPr>
          <w:rFonts w:ascii="Times New Roman" w:hAnsi="Times New Roman"/>
          <w:sz w:val="24"/>
          <w:szCs w:val="24"/>
        </w:rPr>
        <w:t>o</w:t>
      </w:r>
      <w:r w:rsidR="008151A8" w:rsidRPr="008151A8">
        <w:rPr>
          <w:rFonts w:ascii="Times New Roman" w:hAnsi="Times New Roman"/>
          <w:sz w:val="24"/>
          <w:szCs w:val="24"/>
        </w:rPr>
        <w:t xml:space="preserve">pportunities crop up for supplier to exercise </w:t>
      </w:r>
      <w:r w:rsidR="008151A8">
        <w:rPr>
          <w:rFonts w:ascii="Times New Roman" w:hAnsi="Times New Roman"/>
          <w:sz w:val="24"/>
          <w:szCs w:val="24"/>
        </w:rPr>
        <w:t>‘</w:t>
      </w:r>
      <w:r w:rsidR="008151A8" w:rsidRPr="008151A8">
        <w:rPr>
          <w:rFonts w:ascii="Times New Roman" w:hAnsi="Times New Roman"/>
          <w:sz w:val="24"/>
          <w:szCs w:val="24"/>
        </w:rPr>
        <w:t>hold-up</w:t>
      </w:r>
      <w:r w:rsidR="008151A8">
        <w:rPr>
          <w:rFonts w:ascii="Times New Roman" w:hAnsi="Times New Roman"/>
          <w:sz w:val="24"/>
          <w:szCs w:val="24"/>
        </w:rPr>
        <w:t>’</w:t>
      </w:r>
      <w:r w:rsidR="008151A8" w:rsidRPr="008151A8">
        <w:rPr>
          <w:rFonts w:ascii="Times New Roman" w:hAnsi="Times New Roman"/>
          <w:sz w:val="24"/>
          <w:szCs w:val="24"/>
        </w:rPr>
        <w:t>, a practice when a supplier can utilise his position to push the procurer into a disadvantageous position. Supplier hold-up can result when the procurer, having come thus far, would be reluctant to restart the procurement process resulting in significant shift of power relations from buyer to supplier</w:t>
      </w:r>
      <w:r w:rsidR="008151A8">
        <w:rPr>
          <w:rStyle w:val="EndnoteReference"/>
          <w:rFonts w:ascii="Times New Roman" w:hAnsi="Times New Roman"/>
          <w:sz w:val="24"/>
          <w:szCs w:val="24"/>
        </w:rPr>
        <w:endnoteReference w:id="7"/>
      </w:r>
      <w:r w:rsidR="008A6E5D">
        <w:rPr>
          <w:rFonts w:ascii="Times New Roman" w:hAnsi="Times New Roman"/>
          <w:sz w:val="24"/>
          <w:szCs w:val="24"/>
        </w:rPr>
        <w:t xml:space="preserve">. </w:t>
      </w:r>
      <w:r w:rsidR="00AA4804">
        <w:rPr>
          <w:rFonts w:ascii="Times New Roman" w:hAnsi="Times New Roman" w:cs="Times New Roman"/>
          <w:sz w:val="24"/>
          <w:szCs w:val="24"/>
          <w:lang w:bidi="hi-IN"/>
        </w:rPr>
        <w:t>For the government to act as an efficient purchaser, appropriate decisions regarding when to contract out, designing of tight contracts and effective monitoring mechanisms are compulsory pre-requisites and in the absence of these it is liable for supplier hold-up</w:t>
      </w:r>
      <w:r w:rsidR="00AA4804">
        <w:rPr>
          <w:rStyle w:val="EndnoteReference"/>
          <w:rFonts w:ascii="Times New Roman" w:hAnsi="Times New Roman" w:cs="Times New Roman"/>
          <w:sz w:val="24"/>
          <w:szCs w:val="24"/>
          <w:lang w:bidi="hi-IN"/>
        </w:rPr>
        <w:endnoteReference w:id="8"/>
      </w:r>
      <w:r w:rsidR="00AA4804">
        <w:rPr>
          <w:rFonts w:ascii="Times New Roman" w:hAnsi="Times New Roman" w:cs="Times New Roman"/>
          <w:sz w:val="24"/>
          <w:szCs w:val="24"/>
          <w:lang w:bidi="hi-IN"/>
        </w:rPr>
        <w:t xml:space="preserve">. </w:t>
      </w:r>
      <w:r w:rsidR="008A6E5D">
        <w:rPr>
          <w:rFonts w:ascii="Times New Roman" w:hAnsi="Times New Roman"/>
          <w:sz w:val="24"/>
          <w:szCs w:val="24"/>
        </w:rPr>
        <w:t xml:space="preserve">This was precisely what happened in the </w:t>
      </w:r>
      <w:proofErr w:type="spellStart"/>
      <w:r w:rsidR="008A6E5D">
        <w:rPr>
          <w:rFonts w:ascii="Times New Roman" w:hAnsi="Times New Roman"/>
          <w:sz w:val="24"/>
          <w:szCs w:val="24"/>
        </w:rPr>
        <w:t>Janani</w:t>
      </w:r>
      <w:proofErr w:type="spellEnd"/>
      <w:r w:rsidR="008A6E5D">
        <w:rPr>
          <w:rFonts w:ascii="Times New Roman" w:hAnsi="Times New Roman"/>
          <w:sz w:val="24"/>
          <w:szCs w:val="24"/>
        </w:rPr>
        <w:t xml:space="preserve"> </w:t>
      </w:r>
      <w:proofErr w:type="spellStart"/>
      <w:r w:rsidR="008A6E5D">
        <w:rPr>
          <w:rFonts w:ascii="Times New Roman" w:hAnsi="Times New Roman"/>
          <w:sz w:val="24"/>
          <w:szCs w:val="24"/>
        </w:rPr>
        <w:t>Sahyogi</w:t>
      </w:r>
      <w:proofErr w:type="spellEnd"/>
      <w:r w:rsidR="008A6E5D">
        <w:rPr>
          <w:rFonts w:ascii="Times New Roman" w:hAnsi="Times New Roman"/>
          <w:sz w:val="24"/>
          <w:szCs w:val="24"/>
        </w:rPr>
        <w:t xml:space="preserve"> </w:t>
      </w:r>
      <w:proofErr w:type="spellStart"/>
      <w:r w:rsidR="008A6E5D">
        <w:rPr>
          <w:rFonts w:ascii="Times New Roman" w:hAnsi="Times New Roman"/>
          <w:sz w:val="24"/>
          <w:szCs w:val="24"/>
        </w:rPr>
        <w:t>Yojana</w:t>
      </w:r>
      <w:proofErr w:type="spellEnd"/>
      <w:r w:rsidR="008A6E5D">
        <w:rPr>
          <w:rFonts w:ascii="Times New Roman" w:hAnsi="Times New Roman"/>
          <w:sz w:val="24"/>
          <w:szCs w:val="24"/>
        </w:rPr>
        <w:t xml:space="preserve"> of Madhya Pradesh, a public-private partnership where the private facilities were empanelled to provide maternal services </w:t>
      </w:r>
      <w:r w:rsidR="00E86F33">
        <w:rPr>
          <w:rFonts w:ascii="Times New Roman" w:hAnsi="Times New Roman"/>
          <w:sz w:val="24"/>
          <w:szCs w:val="24"/>
        </w:rPr>
        <w:t>to Below Poverty Line (BPL) beneficiaries on a fee-for-service basis</w:t>
      </w:r>
      <w:r w:rsidR="00B21F76">
        <w:rPr>
          <w:rFonts w:ascii="Times New Roman" w:hAnsi="Times New Roman"/>
          <w:sz w:val="24"/>
          <w:szCs w:val="24"/>
        </w:rPr>
        <w:t xml:space="preserve"> with </w:t>
      </w:r>
      <w:r w:rsidR="00B21F76" w:rsidRPr="00B21F76">
        <w:rPr>
          <w:rFonts w:ascii="Times New Roman" w:hAnsi="Times New Roman" w:cs="Times New Roman"/>
          <w:sz w:val="24"/>
          <w:szCs w:val="24"/>
          <w:lang w:bidi="hi-IN"/>
        </w:rPr>
        <w:t>Caesarean</w:t>
      </w:r>
      <w:r w:rsidR="00AA4804">
        <w:rPr>
          <w:rFonts w:ascii="Times New Roman" w:hAnsi="Times New Roman" w:cs="Times New Roman"/>
          <w:sz w:val="24"/>
          <w:szCs w:val="24"/>
          <w:lang w:bidi="hi-IN"/>
        </w:rPr>
        <w:t xml:space="preserve"> sections reimbursed </w:t>
      </w:r>
      <w:proofErr w:type="spellStart"/>
      <w:r w:rsidR="00AA4804">
        <w:rPr>
          <w:rFonts w:ascii="Times New Roman" w:hAnsi="Times New Roman" w:cs="Times New Roman"/>
          <w:sz w:val="24"/>
          <w:szCs w:val="24"/>
          <w:lang w:bidi="hi-IN"/>
        </w:rPr>
        <w:t>upto</w:t>
      </w:r>
      <w:proofErr w:type="spellEnd"/>
      <w:r w:rsidR="00AA4804">
        <w:rPr>
          <w:rFonts w:ascii="Times New Roman" w:hAnsi="Times New Roman" w:cs="Times New Roman"/>
          <w:sz w:val="24"/>
          <w:szCs w:val="24"/>
          <w:lang w:bidi="hi-IN"/>
        </w:rPr>
        <w:t xml:space="preserve"> Rs. 55</w:t>
      </w:r>
      <w:r w:rsidR="00B21F76">
        <w:rPr>
          <w:rFonts w:ascii="Times New Roman" w:hAnsi="Times New Roman" w:cs="Times New Roman"/>
          <w:sz w:val="24"/>
          <w:szCs w:val="24"/>
          <w:lang w:bidi="hi-IN"/>
        </w:rPr>
        <w:t>00</w:t>
      </w:r>
      <w:r w:rsidR="00E86F33">
        <w:rPr>
          <w:rFonts w:ascii="Times New Roman" w:hAnsi="Times New Roman"/>
          <w:sz w:val="24"/>
          <w:szCs w:val="24"/>
        </w:rPr>
        <w:t>. In the first year of operation</w:t>
      </w:r>
      <w:r w:rsidR="00B21F76">
        <w:rPr>
          <w:rFonts w:ascii="Times New Roman" w:hAnsi="Times New Roman"/>
          <w:sz w:val="24"/>
          <w:szCs w:val="24"/>
        </w:rPr>
        <w:t xml:space="preserve">, the </w:t>
      </w:r>
      <w:r w:rsidR="00B21F76" w:rsidRPr="00B21F76">
        <w:rPr>
          <w:rFonts w:ascii="Times New Roman" w:hAnsi="Times New Roman" w:cs="Times New Roman"/>
          <w:sz w:val="24"/>
          <w:szCs w:val="24"/>
          <w:lang w:bidi="hi-IN"/>
        </w:rPr>
        <w:t>Caesarean</w:t>
      </w:r>
      <w:r w:rsidR="00B21F76">
        <w:rPr>
          <w:rFonts w:ascii="Times New Roman" w:hAnsi="Times New Roman" w:cs="Times New Roman"/>
          <w:sz w:val="24"/>
          <w:szCs w:val="24"/>
          <w:lang w:bidi="hi-IN"/>
        </w:rPr>
        <w:t xml:space="preserve"> sections done on the beneficiaries were found to be as high as 67% of the total deliveries conducted in Jabalpur district</w:t>
      </w:r>
      <w:r w:rsidR="008703B1">
        <w:rPr>
          <w:rFonts w:ascii="Times New Roman" w:hAnsi="Times New Roman" w:cs="Times New Roman"/>
          <w:sz w:val="24"/>
          <w:szCs w:val="24"/>
          <w:lang w:bidi="hi-IN"/>
        </w:rPr>
        <w:t xml:space="preserve"> and average of four districts studied was  around </w:t>
      </w:r>
      <w:r w:rsidR="00AA4804">
        <w:rPr>
          <w:rFonts w:ascii="Times New Roman" w:hAnsi="Times New Roman" w:cs="Times New Roman"/>
          <w:sz w:val="24"/>
          <w:szCs w:val="24"/>
          <w:lang w:bidi="hi-IN"/>
        </w:rPr>
        <w:t xml:space="preserve">46% which is way beyond the </w:t>
      </w:r>
      <w:r w:rsidR="008703B1">
        <w:rPr>
          <w:rFonts w:ascii="Times New Roman" w:hAnsi="Times New Roman" w:cs="Times New Roman"/>
          <w:sz w:val="24"/>
          <w:szCs w:val="24"/>
          <w:lang w:bidi="hi-IN"/>
        </w:rPr>
        <w:t xml:space="preserve">norm of </w:t>
      </w:r>
      <w:r w:rsidR="00AA4804">
        <w:rPr>
          <w:rFonts w:ascii="Times New Roman" w:hAnsi="Times New Roman" w:cs="Times New Roman"/>
          <w:sz w:val="24"/>
          <w:szCs w:val="24"/>
          <w:lang w:bidi="hi-IN"/>
        </w:rPr>
        <w:t xml:space="preserve">around </w:t>
      </w:r>
      <w:r w:rsidR="008703B1">
        <w:rPr>
          <w:rFonts w:ascii="Times New Roman" w:hAnsi="Times New Roman" w:cs="Times New Roman"/>
          <w:sz w:val="24"/>
          <w:szCs w:val="24"/>
          <w:lang w:bidi="hi-IN"/>
        </w:rPr>
        <w:t xml:space="preserve">8% prescribed by </w:t>
      </w:r>
      <w:r w:rsidR="00B21F76">
        <w:rPr>
          <w:rFonts w:ascii="Times New Roman" w:hAnsi="Times New Roman" w:cs="Times New Roman"/>
          <w:sz w:val="24"/>
          <w:szCs w:val="24"/>
          <w:lang w:bidi="hi-IN"/>
        </w:rPr>
        <w:t>WHO</w:t>
      </w:r>
      <w:r w:rsidR="008B0217">
        <w:rPr>
          <w:rFonts w:ascii="Times New Roman" w:hAnsi="Times New Roman" w:cs="Times New Roman"/>
          <w:sz w:val="24"/>
          <w:szCs w:val="24"/>
          <w:lang w:bidi="hi-IN"/>
        </w:rPr>
        <w:t xml:space="preserve"> </w:t>
      </w:r>
      <w:r w:rsidR="008B0217">
        <w:rPr>
          <w:rStyle w:val="EndnoteReference"/>
          <w:rFonts w:ascii="Times New Roman" w:hAnsi="Times New Roman" w:cs="Times New Roman"/>
          <w:sz w:val="24"/>
          <w:szCs w:val="24"/>
          <w:lang w:bidi="hi-IN"/>
        </w:rPr>
        <w:endnoteReference w:id="9"/>
      </w:r>
      <w:r w:rsidR="008B0217">
        <w:rPr>
          <w:rFonts w:ascii="Times New Roman" w:hAnsi="Times New Roman" w:cs="Times New Roman"/>
          <w:sz w:val="24"/>
          <w:szCs w:val="24"/>
          <w:lang w:bidi="hi-IN"/>
        </w:rPr>
        <w:t xml:space="preserve">. </w:t>
      </w:r>
      <w:r w:rsidR="00134A62">
        <w:rPr>
          <w:rFonts w:ascii="Times New Roman" w:hAnsi="Times New Roman" w:cs="Times New Roman"/>
          <w:sz w:val="24"/>
          <w:szCs w:val="24"/>
          <w:lang w:bidi="hi-IN"/>
        </w:rPr>
        <w:t xml:space="preserve">When the department of public health and family welfare sought to put a cap on the number of </w:t>
      </w:r>
      <w:r w:rsidR="00134A62" w:rsidRPr="00B21F76">
        <w:rPr>
          <w:rFonts w:ascii="Times New Roman" w:hAnsi="Times New Roman" w:cs="Times New Roman"/>
          <w:sz w:val="24"/>
          <w:szCs w:val="24"/>
          <w:lang w:bidi="hi-IN"/>
        </w:rPr>
        <w:t>Caesarean</w:t>
      </w:r>
      <w:r w:rsidR="00134A62">
        <w:rPr>
          <w:rFonts w:ascii="Times New Roman" w:hAnsi="Times New Roman" w:cs="Times New Roman"/>
          <w:sz w:val="24"/>
          <w:szCs w:val="24"/>
          <w:lang w:bidi="hi-IN"/>
        </w:rPr>
        <w:t xml:space="preserve"> sections </w:t>
      </w:r>
      <w:r w:rsidR="004E67AB">
        <w:rPr>
          <w:rFonts w:ascii="Times New Roman" w:hAnsi="Times New Roman" w:cs="Times New Roman"/>
          <w:sz w:val="24"/>
          <w:szCs w:val="24"/>
          <w:lang w:bidi="hi-IN"/>
        </w:rPr>
        <w:t xml:space="preserve">by shifting to capitation mode of payment, </w:t>
      </w:r>
      <w:r w:rsidR="00134A62">
        <w:rPr>
          <w:rFonts w:ascii="Times New Roman" w:hAnsi="Times New Roman" w:cs="Times New Roman"/>
          <w:sz w:val="24"/>
          <w:szCs w:val="24"/>
          <w:lang w:bidi="hi-IN"/>
        </w:rPr>
        <w:t xml:space="preserve">the empanelled private facilities </w:t>
      </w:r>
      <w:r w:rsidR="004E67AB">
        <w:rPr>
          <w:rFonts w:ascii="Times New Roman" w:hAnsi="Times New Roman" w:cs="Times New Roman"/>
          <w:sz w:val="24"/>
          <w:szCs w:val="24"/>
          <w:lang w:bidi="hi-IN"/>
        </w:rPr>
        <w:t xml:space="preserve">withdrew from the scheme and empanelled facilities </w:t>
      </w:r>
      <w:r w:rsidR="00134A62">
        <w:rPr>
          <w:rFonts w:ascii="Times New Roman" w:hAnsi="Times New Roman" w:cs="Times New Roman"/>
          <w:sz w:val="24"/>
          <w:szCs w:val="24"/>
          <w:lang w:bidi="hi-IN"/>
        </w:rPr>
        <w:t xml:space="preserve">came down drastically from 191 to 20 </w:t>
      </w:r>
      <w:r w:rsidR="00506C9E">
        <w:rPr>
          <w:rFonts w:ascii="Times New Roman" w:hAnsi="Times New Roman" w:cs="Times New Roman"/>
          <w:sz w:val="24"/>
          <w:szCs w:val="24"/>
          <w:lang w:bidi="hi-IN"/>
        </w:rPr>
        <w:t xml:space="preserve">and the secretary quoted </w:t>
      </w:r>
      <w:r w:rsidR="00506C9E" w:rsidRPr="00506C9E">
        <w:rPr>
          <w:rFonts w:ascii="Times New Roman" w:hAnsi="Times New Roman" w:cs="Times New Roman"/>
          <w:i/>
          <w:iCs/>
          <w:sz w:val="24"/>
          <w:szCs w:val="24"/>
          <w:lang w:bidi="hi-IN"/>
        </w:rPr>
        <w:t>“</w:t>
      </w:r>
      <w:r w:rsidR="00AA4804">
        <w:rPr>
          <w:rFonts w:ascii="Times New Roman" w:hAnsi="Times New Roman" w:cs="Times New Roman"/>
          <w:i/>
          <w:iCs/>
          <w:sz w:val="24"/>
          <w:szCs w:val="24"/>
          <w:lang w:bidi="hi-IN"/>
        </w:rPr>
        <w:t>...</w:t>
      </w:r>
      <w:r w:rsidR="00506C9E" w:rsidRPr="00506C9E">
        <w:rPr>
          <w:rFonts w:ascii="Times New Roman" w:hAnsi="Times New Roman" w:cs="Times New Roman"/>
          <w:i/>
          <w:iCs/>
          <w:sz w:val="24"/>
          <w:szCs w:val="24"/>
          <w:lang w:bidi="hi-IN"/>
        </w:rPr>
        <w:t>we could not do anything as we have a demand-supply problem in the state</w:t>
      </w:r>
      <w:r w:rsidR="00AA4804">
        <w:rPr>
          <w:rFonts w:ascii="Times New Roman" w:hAnsi="Times New Roman" w:cs="Times New Roman"/>
          <w:i/>
          <w:iCs/>
          <w:sz w:val="24"/>
          <w:szCs w:val="24"/>
          <w:lang w:bidi="hi-IN"/>
        </w:rPr>
        <w:t>...”</w:t>
      </w:r>
      <w:r w:rsidR="00AA4804">
        <w:rPr>
          <w:rStyle w:val="EndnoteReference"/>
          <w:rFonts w:ascii="Times New Roman" w:hAnsi="Times New Roman" w:cs="Times New Roman"/>
          <w:i/>
          <w:iCs/>
          <w:sz w:val="24"/>
          <w:szCs w:val="24"/>
          <w:lang w:bidi="hi-IN"/>
        </w:rPr>
        <w:endnoteReference w:id="10"/>
      </w:r>
      <w:r w:rsidR="00AA4804">
        <w:rPr>
          <w:rFonts w:ascii="Times New Roman" w:hAnsi="Times New Roman" w:cs="Times New Roman"/>
          <w:i/>
          <w:iCs/>
          <w:sz w:val="24"/>
          <w:szCs w:val="24"/>
          <w:lang w:bidi="hi-IN"/>
        </w:rPr>
        <w:t xml:space="preserve">. </w:t>
      </w:r>
      <w:r w:rsidR="004E67AB">
        <w:rPr>
          <w:rFonts w:ascii="Times New Roman" w:hAnsi="Times New Roman" w:cs="Times New Roman"/>
          <w:sz w:val="24"/>
          <w:szCs w:val="24"/>
          <w:lang w:bidi="hi-IN"/>
        </w:rPr>
        <w:t xml:space="preserve"> </w:t>
      </w:r>
      <w:r w:rsidR="005C6D81">
        <w:rPr>
          <w:rFonts w:ascii="Times New Roman" w:hAnsi="Times New Roman" w:cs="Times New Roman"/>
          <w:sz w:val="24"/>
          <w:szCs w:val="24"/>
          <w:lang w:bidi="hi-IN"/>
        </w:rPr>
        <w:t xml:space="preserve">In </w:t>
      </w:r>
      <w:r w:rsidR="00AA4804">
        <w:rPr>
          <w:rFonts w:ascii="Times New Roman" w:hAnsi="Times New Roman" w:cs="Times New Roman"/>
          <w:sz w:val="24"/>
          <w:szCs w:val="24"/>
          <w:lang w:bidi="hi-IN"/>
        </w:rPr>
        <w:t xml:space="preserve">the same </w:t>
      </w:r>
      <w:r w:rsidR="005C6D81">
        <w:rPr>
          <w:rFonts w:ascii="Times New Roman" w:hAnsi="Times New Roman" w:cs="Times New Roman"/>
          <w:sz w:val="24"/>
          <w:szCs w:val="24"/>
          <w:lang w:bidi="hi-IN"/>
        </w:rPr>
        <w:t>study of regulation scenario in health sector</w:t>
      </w:r>
      <w:r w:rsidR="00AA4804">
        <w:rPr>
          <w:rFonts w:ascii="Times New Roman" w:hAnsi="Times New Roman" w:cs="Times New Roman"/>
          <w:sz w:val="24"/>
          <w:szCs w:val="24"/>
          <w:lang w:bidi="hi-IN"/>
        </w:rPr>
        <w:t>, the regulatory authorities identified</w:t>
      </w:r>
      <w:r w:rsidR="005C6D81">
        <w:rPr>
          <w:rFonts w:ascii="Times New Roman" w:hAnsi="Times New Roman" w:cs="Times New Roman"/>
          <w:sz w:val="24"/>
          <w:szCs w:val="24"/>
          <w:lang w:bidi="hi-IN"/>
        </w:rPr>
        <w:t xml:space="preserve"> l</w:t>
      </w:r>
      <w:r w:rsidR="00AA4804">
        <w:rPr>
          <w:rFonts w:ascii="Times New Roman" w:hAnsi="Times New Roman" w:cs="Times New Roman"/>
          <w:sz w:val="24"/>
          <w:szCs w:val="24"/>
          <w:lang w:bidi="hi-IN"/>
        </w:rPr>
        <w:t>ack of resources and staffing as the main reasons for weak regulation. Hence a strong public health system backed up by a very strong regulation is a pre-requisite before any partnerships can be thought of.</w:t>
      </w:r>
    </w:p>
    <w:p w:rsidR="00E3117A" w:rsidRDefault="00E3117A"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9C4823" w:rsidRDefault="009B047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4.0</w:t>
      </w:r>
      <w:r>
        <w:rPr>
          <w:rFonts w:ascii="Times New Roman" w:hAnsi="Times New Roman" w:cs="Times New Roman"/>
          <w:b/>
          <w:bCs/>
          <w:sz w:val="24"/>
          <w:szCs w:val="24"/>
          <w:lang w:bidi="hi-IN"/>
        </w:rPr>
        <w:tab/>
      </w:r>
      <w:r w:rsidR="009C4823">
        <w:rPr>
          <w:rFonts w:ascii="Times New Roman" w:hAnsi="Times New Roman" w:cs="Times New Roman"/>
          <w:b/>
          <w:bCs/>
          <w:sz w:val="24"/>
          <w:szCs w:val="24"/>
          <w:lang w:bidi="hi-IN"/>
        </w:rPr>
        <w:t xml:space="preserve">Evidence for the Public-private partnerships </w:t>
      </w:r>
    </w:p>
    <w:p w:rsidR="009C4823" w:rsidRDefault="009C482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p>
    <w:p w:rsidR="009C4823" w:rsidRDefault="009C482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sidRPr="009C4823">
        <w:rPr>
          <w:rFonts w:ascii="Times New Roman" w:hAnsi="Times New Roman" w:cs="Times New Roman"/>
          <w:sz w:val="24"/>
          <w:szCs w:val="24"/>
          <w:lang w:bidi="hi-IN"/>
        </w:rPr>
        <w:t>This sectio</w:t>
      </w:r>
      <w:r>
        <w:rPr>
          <w:rFonts w:ascii="Times New Roman" w:hAnsi="Times New Roman" w:cs="Times New Roman"/>
          <w:sz w:val="24"/>
          <w:szCs w:val="24"/>
          <w:lang w:bidi="hi-IN"/>
        </w:rPr>
        <w:t xml:space="preserve">n tries to look at the empirical evidence available for some of the PPPs in operation in the country. </w:t>
      </w:r>
      <w:r w:rsidR="00EA0146">
        <w:rPr>
          <w:rFonts w:ascii="Times New Roman" w:hAnsi="Times New Roman" w:cs="Times New Roman"/>
          <w:sz w:val="24"/>
          <w:szCs w:val="24"/>
          <w:lang w:bidi="hi-IN"/>
        </w:rPr>
        <w:t xml:space="preserve">As mentioned before, the </w:t>
      </w:r>
      <w:r>
        <w:rPr>
          <w:rFonts w:ascii="Times New Roman" w:hAnsi="Times New Roman" w:cs="Times New Roman"/>
          <w:sz w:val="24"/>
          <w:szCs w:val="24"/>
          <w:lang w:bidi="hi-IN"/>
        </w:rPr>
        <w:t xml:space="preserve">type of PPPs that have been selected </w:t>
      </w:r>
      <w:r w:rsidR="00EA0146">
        <w:rPr>
          <w:rFonts w:ascii="Times New Roman" w:hAnsi="Times New Roman" w:cs="Times New Roman"/>
          <w:sz w:val="24"/>
          <w:szCs w:val="24"/>
          <w:lang w:bidi="hi-IN"/>
        </w:rPr>
        <w:t xml:space="preserve">for this </w:t>
      </w:r>
      <w:r w:rsidR="00C24F5B">
        <w:rPr>
          <w:rFonts w:ascii="Times New Roman" w:hAnsi="Times New Roman" w:cs="Times New Roman"/>
          <w:sz w:val="24"/>
          <w:szCs w:val="24"/>
          <w:lang w:bidi="hi-IN"/>
        </w:rPr>
        <w:t>paper</w:t>
      </w:r>
      <w:r w:rsidR="00EA0146">
        <w:rPr>
          <w:rFonts w:ascii="Times New Roman" w:hAnsi="Times New Roman" w:cs="Times New Roman"/>
          <w:sz w:val="24"/>
          <w:szCs w:val="24"/>
          <w:lang w:bidi="hi-IN"/>
        </w:rPr>
        <w:t xml:space="preserve"> </w:t>
      </w:r>
      <w:r>
        <w:rPr>
          <w:rFonts w:ascii="Times New Roman" w:hAnsi="Times New Roman" w:cs="Times New Roman"/>
          <w:sz w:val="24"/>
          <w:szCs w:val="24"/>
          <w:lang w:bidi="hi-IN"/>
        </w:rPr>
        <w:t xml:space="preserve">are more from healthcare service delivery </w:t>
      </w:r>
      <w:r w:rsidR="00EA0146">
        <w:rPr>
          <w:rFonts w:ascii="Times New Roman" w:hAnsi="Times New Roman" w:cs="Times New Roman"/>
          <w:sz w:val="24"/>
          <w:szCs w:val="24"/>
          <w:lang w:bidi="hi-IN"/>
        </w:rPr>
        <w:t xml:space="preserve">side </w:t>
      </w:r>
      <w:r>
        <w:rPr>
          <w:rFonts w:ascii="Times New Roman" w:hAnsi="Times New Roman" w:cs="Times New Roman"/>
          <w:sz w:val="24"/>
          <w:szCs w:val="24"/>
          <w:lang w:bidi="hi-IN"/>
        </w:rPr>
        <w:t>rather than the other services like amb</w:t>
      </w:r>
      <w:r w:rsidR="00EA0146">
        <w:rPr>
          <w:rFonts w:ascii="Times New Roman" w:hAnsi="Times New Roman" w:cs="Times New Roman"/>
          <w:sz w:val="24"/>
          <w:szCs w:val="24"/>
          <w:lang w:bidi="hi-IN"/>
        </w:rPr>
        <w:t>ulances, training etc., For all the enthusiasm shown towards PPPs, there is little empirical evidence to show for achieving equitable outcomes</w:t>
      </w:r>
      <w:r w:rsidR="0010319A">
        <w:rPr>
          <w:rFonts w:ascii="Times New Roman" w:hAnsi="Times New Roman" w:cs="Times New Roman"/>
          <w:sz w:val="24"/>
          <w:szCs w:val="24"/>
          <w:lang w:bidi="hi-IN"/>
        </w:rPr>
        <w:t xml:space="preserve"> in</w:t>
      </w:r>
      <w:r w:rsidR="00550480">
        <w:rPr>
          <w:rFonts w:ascii="Times New Roman" w:hAnsi="Times New Roman" w:cs="Times New Roman"/>
          <w:sz w:val="24"/>
          <w:szCs w:val="24"/>
          <w:lang w:bidi="hi-IN"/>
        </w:rPr>
        <w:t xml:space="preserve"> healthcare</w:t>
      </w:r>
      <w:r w:rsidR="0010319A">
        <w:rPr>
          <w:rFonts w:ascii="Times New Roman" w:hAnsi="Times New Roman" w:cs="Times New Roman"/>
          <w:sz w:val="24"/>
          <w:szCs w:val="24"/>
          <w:lang w:bidi="hi-IN"/>
        </w:rPr>
        <w:t xml:space="preserve"> service delivery. This section tries to map out what little evidence that is available </w:t>
      </w:r>
      <w:proofErr w:type="spellStart"/>
      <w:r w:rsidR="0010319A">
        <w:rPr>
          <w:rFonts w:ascii="Times New Roman" w:hAnsi="Times New Roman" w:cs="Times New Roman"/>
          <w:sz w:val="24"/>
          <w:szCs w:val="24"/>
          <w:lang w:bidi="hi-IN"/>
        </w:rPr>
        <w:t>vis</w:t>
      </w:r>
      <w:proofErr w:type="spellEnd"/>
      <w:r w:rsidR="0010319A">
        <w:rPr>
          <w:rFonts w:ascii="Times New Roman" w:hAnsi="Times New Roman" w:cs="Times New Roman"/>
          <w:sz w:val="24"/>
          <w:szCs w:val="24"/>
          <w:lang w:bidi="hi-IN"/>
        </w:rPr>
        <w:t>-a-</w:t>
      </w:r>
      <w:proofErr w:type="spellStart"/>
      <w:r w:rsidR="0010319A">
        <w:rPr>
          <w:rFonts w:ascii="Times New Roman" w:hAnsi="Times New Roman" w:cs="Times New Roman"/>
          <w:sz w:val="24"/>
          <w:szCs w:val="24"/>
          <w:lang w:bidi="hi-IN"/>
        </w:rPr>
        <w:t>vis</w:t>
      </w:r>
      <w:proofErr w:type="spellEnd"/>
      <w:r w:rsidR="0010319A">
        <w:rPr>
          <w:rFonts w:ascii="Times New Roman" w:hAnsi="Times New Roman" w:cs="Times New Roman"/>
          <w:sz w:val="24"/>
          <w:szCs w:val="24"/>
          <w:lang w:bidi="hi-IN"/>
        </w:rPr>
        <w:t xml:space="preserve"> PPPs</w:t>
      </w:r>
      <w:r w:rsidR="002508C5">
        <w:rPr>
          <w:rFonts w:ascii="Times New Roman" w:hAnsi="Times New Roman" w:cs="Times New Roman"/>
          <w:sz w:val="24"/>
          <w:szCs w:val="24"/>
          <w:lang w:bidi="hi-IN"/>
        </w:rPr>
        <w:t>.</w:t>
      </w:r>
    </w:p>
    <w:p w:rsidR="002508C5" w:rsidRDefault="002508C5"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DB7C19" w:rsidRDefault="009B047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4.1</w:t>
      </w:r>
      <w:r>
        <w:rPr>
          <w:rFonts w:ascii="Times New Roman" w:hAnsi="Times New Roman" w:cs="Times New Roman"/>
          <w:b/>
          <w:bCs/>
          <w:sz w:val="24"/>
          <w:szCs w:val="24"/>
          <w:lang w:bidi="hi-IN"/>
        </w:rPr>
        <w:tab/>
      </w:r>
      <w:r w:rsidR="00DB7C19">
        <w:rPr>
          <w:rFonts w:ascii="Times New Roman" w:hAnsi="Times New Roman" w:cs="Times New Roman"/>
          <w:b/>
          <w:bCs/>
          <w:sz w:val="24"/>
          <w:szCs w:val="24"/>
          <w:lang w:bidi="hi-IN"/>
        </w:rPr>
        <w:t xml:space="preserve">Handing over government hospitals to be run by the private providers. </w:t>
      </w:r>
    </w:p>
    <w:p w:rsidR="00DB7C19" w:rsidRDefault="00DB7C19"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DB7C19" w:rsidRDefault="00DB7C19"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lastRenderedPageBreak/>
        <w:t xml:space="preserve">The governments have handed over facilities for the private providers to run its hospitals. Two such examples are the Escorts Hospital in Chhattisgarh state and Rajiv Gandhi Apollo hospital in </w:t>
      </w:r>
      <w:proofErr w:type="spellStart"/>
      <w:r>
        <w:rPr>
          <w:rFonts w:ascii="Times New Roman" w:hAnsi="Times New Roman" w:cs="Times New Roman"/>
          <w:sz w:val="24"/>
          <w:szCs w:val="24"/>
          <w:lang w:bidi="hi-IN"/>
        </w:rPr>
        <w:t>Raichur</w:t>
      </w:r>
      <w:proofErr w:type="spellEnd"/>
      <w:r>
        <w:rPr>
          <w:rFonts w:ascii="Times New Roman" w:hAnsi="Times New Roman" w:cs="Times New Roman"/>
          <w:sz w:val="24"/>
          <w:szCs w:val="24"/>
          <w:lang w:bidi="hi-IN"/>
        </w:rPr>
        <w:t xml:space="preserve"> of Karnataka State. Rajiv Gandhi Apollo hospital is to provide free outpatient services and 40% of in-patient beds to ‘BPL’ patients</w:t>
      </w:r>
      <w:r w:rsidR="008A2F17">
        <w:rPr>
          <w:rFonts w:ascii="Times New Roman" w:hAnsi="Times New Roman" w:cs="Times New Roman"/>
          <w:sz w:val="24"/>
          <w:szCs w:val="24"/>
          <w:lang w:bidi="hi-IN"/>
        </w:rPr>
        <w:t xml:space="preserve">. </w:t>
      </w:r>
      <w:r w:rsidR="00EB1DF3">
        <w:rPr>
          <w:rFonts w:ascii="Times New Roman" w:hAnsi="Times New Roman" w:cs="Times New Roman"/>
          <w:sz w:val="24"/>
          <w:szCs w:val="24"/>
          <w:lang w:bidi="hi-IN"/>
        </w:rPr>
        <w:t xml:space="preserve">Limited evidence points to some patient satisfaction. But patients have been subjected to shortage of medicines </w:t>
      </w:r>
      <w:r w:rsidR="00D63C62">
        <w:rPr>
          <w:rFonts w:ascii="Times New Roman" w:hAnsi="Times New Roman" w:cs="Times New Roman"/>
          <w:sz w:val="24"/>
          <w:szCs w:val="24"/>
          <w:lang w:bidi="hi-IN"/>
        </w:rPr>
        <w:t>and forced to buy the medicines;</w:t>
      </w:r>
      <w:r w:rsidR="00EB1DF3">
        <w:rPr>
          <w:rFonts w:ascii="Times New Roman" w:hAnsi="Times New Roman" w:cs="Times New Roman"/>
          <w:sz w:val="24"/>
          <w:szCs w:val="24"/>
          <w:lang w:bidi="hi-IN"/>
        </w:rPr>
        <w:t xml:space="preserve"> </w:t>
      </w:r>
      <w:r w:rsidR="00092DB0">
        <w:rPr>
          <w:rFonts w:ascii="Times New Roman" w:hAnsi="Times New Roman" w:cs="Times New Roman"/>
          <w:sz w:val="24"/>
          <w:szCs w:val="24"/>
          <w:lang w:bidi="hi-IN"/>
        </w:rPr>
        <w:t xml:space="preserve">problems with proper identification of </w:t>
      </w:r>
      <w:r w:rsidR="008A2F17">
        <w:rPr>
          <w:rFonts w:ascii="Times New Roman" w:hAnsi="Times New Roman" w:cs="Times New Roman"/>
          <w:sz w:val="24"/>
          <w:szCs w:val="24"/>
          <w:lang w:bidi="hi-IN"/>
        </w:rPr>
        <w:t xml:space="preserve">BPL </w:t>
      </w:r>
      <w:r w:rsidR="00092DB0">
        <w:rPr>
          <w:rFonts w:ascii="Times New Roman" w:hAnsi="Times New Roman" w:cs="Times New Roman"/>
          <w:sz w:val="24"/>
          <w:szCs w:val="24"/>
          <w:lang w:bidi="hi-IN"/>
        </w:rPr>
        <w:t>patients</w:t>
      </w:r>
      <w:r w:rsidR="00D63C62">
        <w:rPr>
          <w:rFonts w:ascii="Times New Roman" w:hAnsi="Times New Roman" w:cs="Times New Roman"/>
          <w:sz w:val="24"/>
          <w:szCs w:val="24"/>
          <w:lang w:bidi="hi-IN"/>
        </w:rPr>
        <w:t>;</w:t>
      </w:r>
      <w:r w:rsidR="008A2F17">
        <w:rPr>
          <w:rFonts w:ascii="Times New Roman" w:hAnsi="Times New Roman" w:cs="Times New Roman"/>
          <w:sz w:val="24"/>
          <w:szCs w:val="24"/>
          <w:lang w:bidi="hi-IN"/>
        </w:rPr>
        <w:t xml:space="preserve"> the private operator havi</w:t>
      </w:r>
      <w:r w:rsidR="001C1BD7">
        <w:rPr>
          <w:rFonts w:ascii="Times New Roman" w:hAnsi="Times New Roman" w:cs="Times New Roman"/>
          <w:sz w:val="24"/>
          <w:szCs w:val="24"/>
          <w:lang w:bidi="hi-IN"/>
        </w:rPr>
        <w:t>ng been largely influential in devising government pol</w:t>
      </w:r>
      <w:r w:rsidR="00EB1DF3">
        <w:rPr>
          <w:rFonts w:ascii="Times New Roman" w:hAnsi="Times New Roman" w:cs="Times New Roman"/>
          <w:sz w:val="24"/>
          <w:szCs w:val="24"/>
          <w:lang w:bidi="hi-IN"/>
        </w:rPr>
        <w:t xml:space="preserve">icy towards </w:t>
      </w:r>
      <w:r w:rsidR="00D63C62">
        <w:rPr>
          <w:rFonts w:ascii="Times New Roman" w:hAnsi="Times New Roman" w:cs="Times New Roman"/>
          <w:sz w:val="24"/>
          <w:szCs w:val="24"/>
          <w:lang w:bidi="hi-IN"/>
        </w:rPr>
        <w:t>the private sector;</w:t>
      </w:r>
      <w:r w:rsidR="00EB1DF3">
        <w:rPr>
          <w:rFonts w:ascii="Times New Roman" w:hAnsi="Times New Roman" w:cs="Times New Roman"/>
          <w:sz w:val="24"/>
          <w:szCs w:val="24"/>
          <w:lang w:bidi="hi-IN"/>
        </w:rPr>
        <w:t xml:space="preserve"> confusion over </w:t>
      </w:r>
      <w:r>
        <w:rPr>
          <w:rFonts w:ascii="Times New Roman" w:hAnsi="Times New Roman" w:cs="Times New Roman"/>
          <w:sz w:val="24"/>
          <w:szCs w:val="24"/>
          <w:lang w:bidi="hi-IN"/>
        </w:rPr>
        <w:t>charging user fees</w:t>
      </w:r>
      <w:r w:rsidR="00EB1DF3">
        <w:rPr>
          <w:rFonts w:ascii="Times New Roman" w:hAnsi="Times New Roman" w:cs="Times New Roman"/>
          <w:sz w:val="24"/>
          <w:szCs w:val="24"/>
          <w:lang w:bidi="hi-IN"/>
        </w:rPr>
        <w:t xml:space="preserve"> and so </w:t>
      </w:r>
      <w:proofErr w:type="gramStart"/>
      <w:r w:rsidR="00EB1DF3">
        <w:rPr>
          <w:rFonts w:ascii="Times New Roman" w:hAnsi="Times New Roman" w:cs="Times New Roman"/>
          <w:sz w:val="24"/>
          <w:szCs w:val="24"/>
          <w:lang w:bidi="hi-IN"/>
        </w:rPr>
        <w:t xml:space="preserve">on </w:t>
      </w:r>
      <w:proofErr w:type="gramEnd"/>
      <w:r w:rsidR="00EB1DF3">
        <w:rPr>
          <w:rStyle w:val="EndnoteReference"/>
          <w:rFonts w:ascii="Times New Roman" w:hAnsi="Times New Roman" w:cs="Times New Roman"/>
          <w:sz w:val="24"/>
          <w:szCs w:val="24"/>
          <w:lang w:bidi="hi-IN"/>
        </w:rPr>
        <w:endnoteReference w:id="11"/>
      </w:r>
      <w:r>
        <w:rPr>
          <w:rFonts w:ascii="Times New Roman" w:hAnsi="Times New Roman" w:cs="Times New Roman"/>
          <w:sz w:val="24"/>
          <w:szCs w:val="24"/>
          <w:lang w:bidi="hi-IN"/>
        </w:rPr>
        <w:t xml:space="preserve">. </w:t>
      </w:r>
    </w:p>
    <w:p w:rsidR="00EF7C2D" w:rsidRDefault="00EF7C2D"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EF7C2D" w:rsidRPr="00EF7C2D" w:rsidRDefault="009B0473" w:rsidP="009B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4.2</w:t>
      </w:r>
      <w:r>
        <w:rPr>
          <w:rFonts w:ascii="Times New Roman" w:hAnsi="Times New Roman" w:cs="Times New Roman"/>
          <w:b/>
          <w:bCs/>
          <w:sz w:val="24"/>
          <w:szCs w:val="24"/>
          <w:lang w:bidi="hi-IN"/>
        </w:rPr>
        <w:tab/>
      </w:r>
      <w:r w:rsidR="00EF7C2D" w:rsidRPr="00EF7C2D">
        <w:rPr>
          <w:rFonts w:ascii="Times New Roman" w:hAnsi="Times New Roman" w:cs="Times New Roman"/>
          <w:b/>
          <w:bCs/>
          <w:sz w:val="24"/>
          <w:szCs w:val="24"/>
          <w:lang w:bidi="hi-IN"/>
        </w:rPr>
        <w:t>Private providers provided concession in exchange for free beds and service for the poor</w:t>
      </w:r>
    </w:p>
    <w:p w:rsidR="00BA1E8D" w:rsidRDefault="00BA1E8D"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BA1E8D" w:rsidRDefault="00EF7C2D"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Private providers have been provided land and other </w:t>
      </w:r>
      <w:r w:rsidR="003D0BCA">
        <w:rPr>
          <w:rFonts w:ascii="Times New Roman" w:hAnsi="Times New Roman" w:cs="Times New Roman"/>
          <w:sz w:val="24"/>
          <w:szCs w:val="24"/>
          <w:lang w:bidi="hi-IN"/>
        </w:rPr>
        <w:t>facilities</w:t>
      </w:r>
      <w:r>
        <w:rPr>
          <w:rFonts w:ascii="Times New Roman" w:hAnsi="Times New Roman" w:cs="Times New Roman"/>
          <w:sz w:val="24"/>
          <w:szCs w:val="24"/>
          <w:lang w:bidi="hi-IN"/>
        </w:rPr>
        <w:t xml:space="preserve"> at</w:t>
      </w:r>
      <w:r w:rsidR="003D0BCA">
        <w:rPr>
          <w:rFonts w:ascii="Times New Roman" w:hAnsi="Times New Roman" w:cs="Times New Roman"/>
          <w:sz w:val="24"/>
          <w:szCs w:val="24"/>
          <w:lang w:bidi="hi-IN"/>
        </w:rPr>
        <w:t xml:space="preserve"> a</w:t>
      </w:r>
      <w:r>
        <w:rPr>
          <w:rFonts w:ascii="Times New Roman" w:hAnsi="Times New Roman" w:cs="Times New Roman"/>
          <w:sz w:val="24"/>
          <w:szCs w:val="24"/>
          <w:lang w:bidi="hi-IN"/>
        </w:rPr>
        <w:t xml:space="preserve"> concession</w:t>
      </w:r>
      <w:r w:rsidR="003D0BCA">
        <w:rPr>
          <w:rFonts w:ascii="Times New Roman" w:hAnsi="Times New Roman" w:cs="Times New Roman"/>
          <w:sz w:val="24"/>
          <w:szCs w:val="24"/>
          <w:lang w:bidi="hi-IN"/>
        </w:rPr>
        <w:t xml:space="preserve"> rate</w:t>
      </w:r>
      <w:r>
        <w:rPr>
          <w:rFonts w:ascii="Times New Roman" w:hAnsi="Times New Roman" w:cs="Times New Roman"/>
          <w:sz w:val="24"/>
          <w:szCs w:val="24"/>
          <w:lang w:bidi="hi-IN"/>
        </w:rPr>
        <w:t xml:space="preserve"> by the government in exchange for free outpatient services and certain percentage of In-patient beds to the economically weaker sections. </w:t>
      </w:r>
      <w:r w:rsidR="002D1DD3">
        <w:rPr>
          <w:rFonts w:ascii="Times New Roman" w:hAnsi="Times New Roman" w:cs="Times New Roman"/>
          <w:sz w:val="24"/>
          <w:szCs w:val="24"/>
          <w:lang w:bidi="hi-IN"/>
        </w:rPr>
        <w:t xml:space="preserve">One such PPP is of the Delhi Development Authority and Land and Development office, Delhi Government which </w:t>
      </w:r>
      <w:r w:rsidR="00EA6951">
        <w:rPr>
          <w:rFonts w:ascii="Times New Roman" w:hAnsi="Times New Roman" w:cs="Times New Roman"/>
          <w:sz w:val="24"/>
          <w:szCs w:val="24"/>
          <w:lang w:bidi="hi-IN"/>
        </w:rPr>
        <w:t xml:space="preserve">allotted land at a concessional rate to </w:t>
      </w:r>
      <w:r w:rsidR="002D1DD3">
        <w:rPr>
          <w:rFonts w:ascii="Times New Roman" w:hAnsi="Times New Roman" w:cs="Times New Roman"/>
          <w:sz w:val="24"/>
          <w:szCs w:val="24"/>
          <w:lang w:bidi="hi-IN"/>
        </w:rPr>
        <w:t xml:space="preserve">trust hospitals. In exchange, the hospitals were to earmark 10% of in-patient beds and 25% OPD free for </w:t>
      </w:r>
      <w:proofErr w:type="gramStart"/>
      <w:r w:rsidR="002D1DD3">
        <w:rPr>
          <w:rFonts w:ascii="Times New Roman" w:hAnsi="Times New Roman" w:cs="Times New Roman"/>
          <w:sz w:val="24"/>
          <w:szCs w:val="24"/>
          <w:lang w:bidi="hi-IN"/>
        </w:rPr>
        <w:t>Economically</w:t>
      </w:r>
      <w:proofErr w:type="gramEnd"/>
      <w:r w:rsidR="002D1DD3">
        <w:rPr>
          <w:rFonts w:ascii="Times New Roman" w:hAnsi="Times New Roman" w:cs="Times New Roman"/>
          <w:sz w:val="24"/>
          <w:szCs w:val="24"/>
          <w:lang w:bidi="hi-IN"/>
        </w:rPr>
        <w:t xml:space="preserve"> weaker sections (EWS). The evidence against this type of PPP is perhaps the most damning.</w:t>
      </w:r>
      <w:r w:rsidR="00C53AC5">
        <w:rPr>
          <w:rFonts w:ascii="Times New Roman" w:hAnsi="Times New Roman" w:cs="Times New Roman"/>
          <w:sz w:val="24"/>
          <w:szCs w:val="24"/>
          <w:lang w:bidi="hi-IN"/>
        </w:rPr>
        <w:t xml:space="preserve"> This type of PPP has been followed more in violation. There is a famous Delhi High court indictment of a private hospital for not following the rules </w:t>
      </w:r>
      <w:r w:rsidR="00C53AC5">
        <w:rPr>
          <w:rStyle w:val="EndnoteReference"/>
          <w:rFonts w:ascii="Times New Roman" w:hAnsi="Times New Roman" w:cs="Times New Roman"/>
          <w:sz w:val="24"/>
          <w:szCs w:val="24"/>
          <w:lang w:bidi="hi-IN"/>
        </w:rPr>
        <w:endnoteReference w:id="12"/>
      </w:r>
      <w:r w:rsidR="0028188E">
        <w:rPr>
          <w:rFonts w:ascii="Times New Roman" w:hAnsi="Times New Roman" w:cs="Times New Roman"/>
          <w:sz w:val="24"/>
          <w:szCs w:val="24"/>
          <w:lang w:bidi="hi-IN"/>
        </w:rPr>
        <w:t xml:space="preserve"> following which the Directorate had come with a new government order with new monitoring </w:t>
      </w:r>
      <w:proofErr w:type="gramStart"/>
      <w:r w:rsidR="0028188E">
        <w:rPr>
          <w:rFonts w:ascii="Times New Roman" w:hAnsi="Times New Roman" w:cs="Times New Roman"/>
          <w:sz w:val="24"/>
          <w:szCs w:val="24"/>
          <w:lang w:bidi="hi-IN"/>
        </w:rPr>
        <w:t xml:space="preserve">rules </w:t>
      </w:r>
      <w:proofErr w:type="gramEnd"/>
      <w:r w:rsidR="0028188E">
        <w:rPr>
          <w:rStyle w:val="EndnoteReference"/>
          <w:rFonts w:ascii="Times New Roman" w:hAnsi="Times New Roman" w:cs="Times New Roman"/>
          <w:sz w:val="24"/>
          <w:szCs w:val="24"/>
          <w:lang w:bidi="hi-IN"/>
        </w:rPr>
        <w:endnoteReference w:id="13"/>
      </w:r>
      <w:r w:rsidR="00C53AC5">
        <w:rPr>
          <w:rFonts w:ascii="Times New Roman" w:hAnsi="Times New Roman" w:cs="Times New Roman"/>
          <w:sz w:val="24"/>
          <w:szCs w:val="24"/>
          <w:lang w:bidi="hi-IN"/>
        </w:rPr>
        <w:t xml:space="preserve">. </w:t>
      </w:r>
      <w:r w:rsidR="0028188E">
        <w:rPr>
          <w:rFonts w:ascii="Times New Roman" w:hAnsi="Times New Roman" w:cs="Times New Roman"/>
          <w:sz w:val="24"/>
          <w:szCs w:val="24"/>
          <w:lang w:bidi="hi-IN"/>
        </w:rPr>
        <w:t>But r</w:t>
      </w:r>
      <w:r w:rsidR="00C53AC5">
        <w:rPr>
          <w:rFonts w:ascii="Times New Roman" w:hAnsi="Times New Roman" w:cs="Times New Roman"/>
          <w:sz w:val="24"/>
          <w:szCs w:val="24"/>
          <w:lang w:bidi="hi-IN"/>
        </w:rPr>
        <w:t>ecently the Information commissioner had penalised the Delhi directorate of Health Services for failing to monitor the implementation of this rule resulting in denial of treatment for a</w:t>
      </w:r>
      <w:r w:rsidR="003D0BCA">
        <w:rPr>
          <w:rFonts w:ascii="Times New Roman" w:hAnsi="Times New Roman" w:cs="Times New Roman"/>
          <w:sz w:val="24"/>
          <w:szCs w:val="24"/>
          <w:lang w:bidi="hi-IN"/>
        </w:rPr>
        <w:t>n EWS</w:t>
      </w:r>
      <w:r w:rsidR="00C53AC5">
        <w:rPr>
          <w:rFonts w:ascii="Times New Roman" w:hAnsi="Times New Roman" w:cs="Times New Roman"/>
          <w:sz w:val="24"/>
          <w:szCs w:val="24"/>
          <w:lang w:bidi="hi-IN"/>
        </w:rPr>
        <w:t xml:space="preserve"> </w:t>
      </w:r>
      <w:proofErr w:type="gramStart"/>
      <w:r w:rsidR="00C53AC5">
        <w:rPr>
          <w:rFonts w:ascii="Times New Roman" w:hAnsi="Times New Roman" w:cs="Times New Roman"/>
          <w:sz w:val="24"/>
          <w:szCs w:val="24"/>
          <w:lang w:bidi="hi-IN"/>
        </w:rPr>
        <w:t>patient</w:t>
      </w:r>
      <w:r w:rsidR="0028188E">
        <w:rPr>
          <w:rFonts w:ascii="Times New Roman" w:hAnsi="Times New Roman" w:cs="Times New Roman"/>
          <w:sz w:val="24"/>
          <w:szCs w:val="24"/>
          <w:lang w:bidi="hi-IN"/>
        </w:rPr>
        <w:t xml:space="preserve"> </w:t>
      </w:r>
      <w:proofErr w:type="gramEnd"/>
      <w:r w:rsidR="0028188E">
        <w:rPr>
          <w:rStyle w:val="EndnoteReference"/>
          <w:rFonts w:ascii="Times New Roman" w:hAnsi="Times New Roman" w:cs="Times New Roman"/>
          <w:sz w:val="24"/>
          <w:szCs w:val="24"/>
          <w:lang w:bidi="hi-IN"/>
        </w:rPr>
        <w:endnoteReference w:id="14"/>
      </w:r>
      <w:r w:rsidR="00C53AC5">
        <w:rPr>
          <w:rFonts w:ascii="Times New Roman" w:hAnsi="Times New Roman" w:cs="Times New Roman"/>
          <w:sz w:val="24"/>
          <w:szCs w:val="24"/>
          <w:lang w:bidi="hi-IN"/>
        </w:rPr>
        <w:t>.</w:t>
      </w:r>
    </w:p>
    <w:p w:rsidR="00EA6951" w:rsidRDefault="00EA6951"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p>
    <w:p w:rsidR="009B0473" w:rsidRDefault="009B047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4.3</w:t>
      </w:r>
      <w:r>
        <w:rPr>
          <w:rFonts w:ascii="Times New Roman" w:hAnsi="Times New Roman" w:cs="Times New Roman"/>
          <w:b/>
          <w:bCs/>
          <w:sz w:val="24"/>
          <w:szCs w:val="24"/>
          <w:lang w:bidi="hi-IN"/>
        </w:rPr>
        <w:tab/>
      </w:r>
      <w:proofErr w:type="spellStart"/>
      <w:r w:rsidR="002508C5" w:rsidRPr="00F2683C">
        <w:rPr>
          <w:rFonts w:ascii="Times New Roman" w:hAnsi="Times New Roman" w:cs="Times New Roman"/>
          <w:b/>
          <w:bCs/>
          <w:sz w:val="24"/>
          <w:szCs w:val="24"/>
          <w:lang w:bidi="hi-IN"/>
        </w:rPr>
        <w:t>Chir</w:t>
      </w:r>
      <w:r w:rsidR="00F2683C" w:rsidRPr="00F2683C">
        <w:rPr>
          <w:rFonts w:ascii="Times New Roman" w:hAnsi="Times New Roman" w:cs="Times New Roman"/>
          <w:b/>
          <w:bCs/>
          <w:sz w:val="24"/>
          <w:szCs w:val="24"/>
          <w:lang w:bidi="hi-IN"/>
        </w:rPr>
        <w:t>anjeevi</w:t>
      </w:r>
      <w:proofErr w:type="spellEnd"/>
      <w:r w:rsidR="00F2683C" w:rsidRPr="00F2683C">
        <w:rPr>
          <w:rFonts w:ascii="Times New Roman" w:hAnsi="Times New Roman" w:cs="Times New Roman"/>
          <w:b/>
          <w:bCs/>
          <w:sz w:val="24"/>
          <w:szCs w:val="24"/>
          <w:lang w:bidi="hi-IN"/>
        </w:rPr>
        <w:t xml:space="preserve"> Scheme of Gujarat</w:t>
      </w:r>
    </w:p>
    <w:p w:rsidR="009B0473" w:rsidRDefault="009B047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p>
    <w:p w:rsidR="009C4823" w:rsidRDefault="00F2683C"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This is one of the very few schemes that tried to enrol commercial providers on a large scale. The evidence is mixed regarding this scheme. </w:t>
      </w:r>
      <w:r w:rsidR="00706BC9">
        <w:rPr>
          <w:rFonts w:ascii="Times New Roman" w:hAnsi="Times New Roman" w:cs="Times New Roman"/>
          <w:sz w:val="24"/>
          <w:szCs w:val="24"/>
          <w:lang w:bidi="hi-IN"/>
        </w:rPr>
        <w:t>Access has improved and the Caesarean sections have not been as high as that of Madhya Pradesh</w:t>
      </w:r>
      <w:r w:rsidR="00576497">
        <w:rPr>
          <w:rFonts w:ascii="Times New Roman" w:hAnsi="Times New Roman" w:cs="Times New Roman"/>
          <w:sz w:val="24"/>
          <w:szCs w:val="24"/>
          <w:lang w:bidi="hi-IN"/>
        </w:rPr>
        <w:t xml:space="preserve"> due to the capitation nature of the scheme</w:t>
      </w:r>
      <w:r w:rsidR="00706BC9">
        <w:rPr>
          <w:rFonts w:ascii="Times New Roman" w:hAnsi="Times New Roman" w:cs="Times New Roman"/>
          <w:sz w:val="24"/>
          <w:szCs w:val="24"/>
          <w:lang w:bidi="hi-IN"/>
        </w:rPr>
        <w:t>. There has been substantial savings for the government</w:t>
      </w:r>
      <w:r w:rsidR="00B27DAF">
        <w:rPr>
          <w:rFonts w:ascii="Times New Roman" w:hAnsi="Times New Roman" w:cs="Times New Roman"/>
          <w:sz w:val="24"/>
          <w:szCs w:val="24"/>
          <w:lang w:bidi="hi-IN"/>
        </w:rPr>
        <w:t xml:space="preserve">. But on the flip side, the beneficiaries had to still incur </w:t>
      </w:r>
      <w:r w:rsidR="00A3756C">
        <w:rPr>
          <w:rFonts w:ascii="Times New Roman" w:hAnsi="Times New Roman" w:cs="Times New Roman"/>
          <w:sz w:val="24"/>
          <w:szCs w:val="24"/>
          <w:lang w:bidi="hi-IN"/>
        </w:rPr>
        <w:t xml:space="preserve">substantial </w:t>
      </w:r>
      <w:r w:rsidR="00B27DAF">
        <w:rPr>
          <w:rFonts w:ascii="Times New Roman" w:hAnsi="Times New Roman" w:cs="Times New Roman"/>
          <w:sz w:val="24"/>
          <w:szCs w:val="24"/>
          <w:lang w:bidi="hi-IN"/>
        </w:rPr>
        <w:t>additional expenses for medicines ‘prescribed’ by providers</w:t>
      </w:r>
      <w:r w:rsidR="00A3756C">
        <w:rPr>
          <w:rStyle w:val="EndnoteReference"/>
          <w:rFonts w:ascii="Times New Roman" w:hAnsi="Times New Roman" w:cs="Times New Roman"/>
          <w:sz w:val="24"/>
          <w:szCs w:val="24"/>
          <w:lang w:bidi="hi-IN"/>
        </w:rPr>
        <w:endnoteReference w:id="15"/>
      </w:r>
      <w:r w:rsidR="00B27DAF">
        <w:rPr>
          <w:rFonts w:ascii="Times New Roman" w:hAnsi="Times New Roman" w:cs="Times New Roman"/>
          <w:sz w:val="24"/>
          <w:szCs w:val="24"/>
          <w:lang w:bidi="hi-IN"/>
        </w:rPr>
        <w:t xml:space="preserve">. </w:t>
      </w:r>
      <w:r w:rsidR="00A3756C">
        <w:rPr>
          <w:rFonts w:ascii="Times New Roman" w:hAnsi="Times New Roman" w:cs="Times New Roman"/>
          <w:sz w:val="24"/>
          <w:szCs w:val="24"/>
          <w:lang w:bidi="hi-IN"/>
        </w:rPr>
        <w:t>Elsewhere it is reported that the private providers engaged in ‘cream skimming’ by transferring all the difficult cases back to the public health system</w:t>
      </w:r>
      <w:r w:rsidR="00F03050">
        <w:rPr>
          <w:rFonts w:ascii="Times New Roman" w:hAnsi="Times New Roman" w:cs="Times New Roman"/>
          <w:sz w:val="24"/>
          <w:szCs w:val="24"/>
          <w:lang w:bidi="hi-IN"/>
        </w:rPr>
        <w:t xml:space="preserve"> citing insufficient 7% C-section compensation provided by the scheme</w:t>
      </w:r>
      <w:r w:rsidR="00A3756C">
        <w:rPr>
          <w:rFonts w:ascii="Times New Roman" w:hAnsi="Times New Roman" w:cs="Times New Roman"/>
          <w:sz w:val="24"/>
          <w:szCs w:val="24"/>
          <w:lang w:bidi="hi-IN"/>
        </w:rPr>
        <w:t>. None of the leading gynaecological providers joined the scheme and the ones who joined were either fresh providers who were establishing themselves or some who wanted to provide ‘charitable’ services. Of course, the problem of BPL identification plagues this scheme as well</w:t>
      </w:r>
      <w:r w:rsidR="00A3756C">
        <w:rPr>
          <w:rStyle w:val="EndnoteReference"/>
          <w:rFonts w:ascii="Times New Roman" w:hAnsi="Times New Roman" w:cs="Times New Roman"/>
          <w:sz w:val="24"/>
          <w:szCs w:val="24"/>
          <w:lang w:bidi="hi-IN"/>
        </w:rPr>
        <w:endnoteReference w:id="16"/>
      </w:r>
      <w:r w:rsidR="00A3756C">
        <w:rPr>
          <w:rFonts w:ascii="Times New Roman" w:hAnsi="Times New Roman" w:cs="Times New Roman"/>
          <w:sz w:val="24"/>
          <w:szCs w:val="24"/>
          <w:lang w:bidi="hi-IN"/>
        </w:rPr>
        <w:t xml:space="preserve">. </w:t>
      </w:r>
    </w:p>
    <w:p w:rsidR="009C4823" w:rsidRDefault="009C482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p>
    <w:p w:rsidR="00637D1D" w:rsidRDefault="009B0473" w:rsidP="009B0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4.4</w:t>
      </w:r>
      <w:r>
        <w:rPr>
          <w:rFonts w:ascii="Times New Roman" w:hAnsi="Times New Roman" w:cs="Times New Roman"/>
          <w:b/>
          <w:bCs/>
          <w:sz w:val="24"/>
          <w:szCs w:val="24"/>
          <w:lang w:bidi="hi-IN"/>
        </w:rPr>
        <w:tab/>
      </w:r>
      <w:r w:rsidR="00637D1D">
        <w:rPr>
          <w:rFonts w:ascii="Times New Roman" w:hAnsi="Times New Roman" w:cs="Times New Roman"/>
          <w:b/>
          <w:bCs/>
          <w:sz w:val="24"/>
          <w:szCs w:val="24"/>
          <w:lang w:bidi="hi-IN"/>
        </w:rPr>
        <w:t>Running of Primary Health Centres (PHC) by Non-governmental organizations</w:t>
      </w:r>
    </w:p>
    <w:p w:rsidR="00637D1D" w:rsidRDefault="00637D1D"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p>
    <w:p w:rsidR="007A53FE" w:rsidRDefault="00637D1D"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Select states have tried with the experimentation of handing over the running of PHCs by NGOs. Some of the states are Arunachal Pradesh, Gujarat, Karnataka, Orissa and Rajasthan. The evidence in this case is </w:t>
      </w:r>
      <w:r w:rsidR="0084159E">
        <w:rPr>
          <w:rFonts w:ascii="Times New Roman" w:hAnsi="Times New Roman" w:cs="Times New Roman"/>
          <w:sz w:val="24"/>
          <w:szCs w:val="24"/>
          <w:lang w:bidi="hi-IN"/>
        </w:rPr>
        <w:t xml:space="preserve">very thin and </w:t>
      </w:r>
      <w:r>
        <w:rPr>
          <w:rFonts w:ascii="Times New Roman" w:hAnsi="Times New Roman" w:cs="Times New Roman"/>
          <w:sz w:val="24"/>
          <w:szCs w:val="24"/>
          <w:lang w:bidi="hi-IN"/>
        </w:rPr>
        <w:t xml:space="preserve">mixed. The access has improved in </w:t>
      </w:r>
      <w:r w:rsidR="0084159E">
        <w:rPr>
          <w:rFonts w:ascii="Times New Roman" w:hAnsi="Times New Roman" w:cs="Times New Roman"/>
          <w:sz w:val="24"/>
          <w:szCs w:val="24"/>
          <w:lang w:bidi="hi-IN"/>
        </w:rPr>
        <w:t xml:space="preserve">such places.  In Arunachal Pradesh, in the PHCs which were run by NGO at least one Medical Officer could be seen; </w:t>
      </w:r>
      <w:r w:rsidR="005A3B5C">
        <w:rPr>
          <w:rFonts w:ascii="Times New Roman" w:hAnsi="Times New Roman" w:cs="Times New Roman"/>
          <w:sz w:val="24"/>
          <w:szCs w:val="24"/>
          <w:lang w:bidi="hi-IN"/>
        </w:rPr>
        <w:t xml:space="preserve">medicines were available; </w:t>
      </w:r>
      <w:r w:rsidR="0084159E">
        <w:rPr>
          <w:rFonts w:ascii="Times New Roman" w:hAnsi="Times New Roman" w:cs="Times New Roman"/>
          <w:sz w:val="24"/>
          <w:szCs w:val="24"/>
          <w:lang w:bidi="hi-IN"/>
        </w:rPr>
        <w:t>patients expressed satisfaction with the services and ma</w:t>
      </w:r>
      <w:r w:rsidR="005A3B5C">
        <w:rPr>
          <w:rFonts w:ascii="Times New Roman" w:hAnsi="Times New Roman" w:cs="Times New Roman"/>
          <w:sz w:val="24"/>
          <w:szCs w:val="24"/>
          <w:lang w:bidi="hi-IN"/>
        </w:rPr>
        <w:t>intenance of proper records was found to be</w:t>
      </w:r>
      <w:r w:rsidR="0084159E">
        <w:rPr>
          <w:rFonts w:ascii="Times New Roman" w:hAnsi="Times New Roman" w:cs="Times New Roman"/>
          <w:sz w:val="24"/>
          <w:szCs w:val="24"/>
          <w:lang w:bidi="hi-IN"/>
        </w:rPr>
        <w:t xml:space="preserve"> </w:t>
      </w:r>
      <w:proofErr w:type="gramStart"/>
      <w:r w:rsidR="0084159E">
        <w:rPr>
          <w:rFonts w:ascii="Times New Roman" w:hAnsi="Times New Roman" w:cs="Times New Roman"/>
          <w:sz w:val="24"/>
          <w:szCs w:val="24"/>
          <w:lang w:bidi="hi-IN"/>
        </w:rPr>
        <w:t>better</w:t>
      </w:r>
      <w:r w:rsidR="005A3B5C">
        <w:rPr>
          <w:rFonts w:ascii="Times New Roman" w:hAnsi="Times New Roman" w:cs="Times New Roman"/>
          <w:sz w:val="24"/>
          <w:szCs w:val="24"/>
          <w:lang w:bidi="hi-IN"/>
        </w:rPr>
        <w:t xml:space="preserve"> </w:t>
      </w:r>
      <w:proofErr w:type="gramEnd"/>
      <w:r w:rsidR="005A3B5C">
        <w:rPr>
          <w:rStyle w:val="EndnoteReference"/>
          <w:rFonts w:ascii="Times New Roman" w:hAnsi="Times New Roman" w:cs="Times New Roman"/>
          <w:sz w:val="24"/>
          <w:szCs w:val="24"/>
          <w:lang w:bidi="hi-IN"/>
        </w:rPr>
        <w:endnoteReference w:id="17"/>
      </w:r>
      <w:r w:rsidR="0084159E">
        <w:rPr>
          <w:rFonts w:ascii="Times New Roman" w:hAnsi="Times New Roman" w:cs="Times New Roman"/>
          <w:sz w:val="24"/>
          <w:szCs w:val="24"/>
          <w:lang w:bidi="hi-IN"/>
        </w:rPr>
        <w:t xml:space="preserve">. </w:t>
      </w:r>
      <w:r w:rsidR="00957B9F">
        <w:rPr>
          <w:rFonts w:ascii="Times New Roman" w:hAnsi="Times New Roman" w:cs="Times New Roman"/>
          <w:sz w:val="24"/>
          <w:szCs w:val="24"/>
          <w:lang w:bidi="hi-IN"/>
        </w:rPr>
        <w:t xml:space="preserve">But while it has been successful to a certain extent </w:t>
      </w:r>
      <w:r w:rsidR="0084159E">
        <w:rPr>
          <w:rFonts w:ascii="Times New Roman" w:hAnsi="Times New Roman" w:cs="Times New Roman"/>
          <w:sz w:val="24"/>
          <w:szCs w:val="24"/>
          <w:lang w:bidi="hi-IN"/>
        </w:rPr>
        <w:t xml:space="preserve">in </w:t>
      </w:r>
      <w:r w:rsidR="00957B9F">
        <w:rPr>
          <w:rFonts w:ascii="Times New Roman" w:hAnsi="Times New Roman" w:cs="Times New Roman"/>
          <w:sz w:val="24"/>
          <w:szCs w:val="24"/>
          <w:lang w:bidi="hi-IN"/>
        </w:rPr>
        <w:t xml:space="preserve">some </w:t>
      </w:r>
      <w:r w:rsidR="001737D4">
        <w:rPr>
          <w:rFonts w:ascii="Times New Roman" w:hAnsi="Times New Roman" w:cs="Times New Roman"/>
          <w:sz w:val="24"/>
          <w:szCs w:val="24"/>
          <w:lang w:bidi="hi-IN"/>
        </w:rPr>
        <w:t>states like</w:t>
      </w:r>
      <w:r w:rsidR="0084159E">
        <w:rPr>
          <w:rFonts w:ascii="Times New Roman" w:hAnsi="Times New Roman" w:cs="Times New Roman"/>
          <w:sz w:val="24"/>
          <w:szCs w:val="24"/>
          <w:lang w:bidi="hi-IN"/>
        </w:rPr>
        <w:t xml:space="preserve"> Ka</w:t>
      </w:r>
      <w:r w:rsidR="00957B9F">
        <w:rPr>
          <w:rFonts w:ascii="Times New Roman" w:hAnsi="Times New Roman" w:cs="Times New Roman"/>
          <w:sz w:val="24"/>
          <w:szCs w:val="24"/>
          <w:lang w:bidi="hi-IN"/>
        </w:rPr>
        <w:t>rnataka and Arunachal Pradesh, it has failed to take off in the state of Orissa. There is also a history of NGO’s having returned the PHC back to the government</w:t>
      </w:r>
      <w:r w:rsidR="001737D4">
        <w:rPr>
          <w:rFonts w:ascii="Times New Roman" w:hAnsi="Times New Roman" w:cs="Times New Roman"/>
          <w:sz w:val="24"/>
          <w:szCs w:val="24"/>
          <w:lang w:bidi="hi-IN"/>
        </w:rPr>
        <w:t xml:space="preserve"> like SEWA rural in Gujarat and </w:t>
      </w:r>
      <w:proofErr w:type="spellStart"/>
      <w:r w:rsidR="001737D4">
        <w:rPr>
          <w:rFonts w:ascii="Times New Roman" w:hAnsi="Times New Roman" w:cs="Times New Roman"/>
          <w:sz w:val="24"/>
          <w:szCs w:val="24"/>
          <w:lang w:bidi="hi-IN"/>
        </w:rPr>
        <w:t>Prayas</w:t>
      </w:r>
      <w:proofErr w:type="spellEnd"/>
      <w:r w:rsidR="001737D4">
        <w:rPr>
          <w:rFonts w:ascii="Times New Roman" w:hAnsi="Times New Roman" w:cs="Times New Roman"/>
          <w:sz w:val="24"/>
          <w:szCs w:val="24"/>
          <w:lang w:bidi="hi-IN"/>
        </w:rPr>
        <w:t xml:space="preserve"> in Rajasthan</w:t>
      </w:r>
      <w:r w:rsidR="00957B9F">
        <w:rPr>
          <w:rFonts w:ascii="Times New Roman" w:hAnsi="Times New Roman" w:cs="Times New Roman"/>
          <w:sz w:val="24"/>
          <w:szCs w:val="24"/>
          <w:lang w:bidi="hi-IN"/>
        </w:rPr>
        <w:t xml:space="preserve">. One of the main reasons for </w:t>
      </w:r>
      <w:r w:rsidR="00957B9F">
        <w:rPr>
          <w:rFonts w:ascii="Times New Roman" w:hAnsi="Times New Roman" w:cs="Times New Roman"/>
          <w:sz w:val="24"/>
          <w:szCs w:val="24"/>
          <w:lang w:bidi="hi-IN"/>
        </w:rPr>
        <w:lastRenderedPageBreak/>
        <w:t>thi</w:t>
      </w:r>
      <w:r w:rsidR="005A3B5C">
        <w:rPr>
          <w:rFonts w:ascii="Times New Roman" w:hAnsi="Times New Roman" w:cs="Times New Roman"/>
          <w:sz w:val="24"/>
          <w:szCs w:val="24"/>
          <w:lang w:bidi="hi-IN"/>
        </w:rPr>
        <w:t xml:space="preserve">s is pertaining to the payment systems. In states like Karnataka and Arunachal Pradesh, the Government agreed to pay 90% of the amount needed to run the PHCs with the rest 10% having to be raised by the NGO from its donors whereas in Orissa, the government paid only 75% of the amount and the rest 25% was to be raised by the </w:t>
      </w:r>
      <w:proofErr w:type="gramStart"/>
      <w:r w:rsidR="005A3B5C">
        <w:rPr>
          <w:rFonts w:ascii="Times New Roman" w:hAnsi="Times New Roman" w:cs="Times New Roman"/>
          <w:sz w:val="24"/>
          <w:szCs w:val="24"/>
          <w:lang w:bidi="hi-IN"/>
        </w:rPr>
        <w:t xml:space="preserve">NGO </w:t>
      </w:r>
      <w:proofErr w:type="gramEnd"/>
      <w:r w:rsidR="005A3B5C">
        <w:rPr>
          <w:rStyle w:val="EndnoteReference"/>
          <w:rFonts w:ascii="Times New Roman" w:hAnsi="Times New Roman" w:cs="Times New Roman"/>
          <w:sz w:val="24"/>
          <w:szCs w:val="24"/>
          <w:lang w:bidi="hi-IN"/>
        </w:rPr>
        <w:endnoteReference w:id="18"/>
      </w:r>
      <w:r w:rsidR="001737D4">
        <w:rPr>
          <w:rFonts w:ascii="Times New Roman" w:hAnsi="Times New Roman" w:cs="Times New Roman"/>
          <w:sz w:val="24"/>
          <w:szCs w:val="24"/>
          <w:lang w:bidi="hi-IN"/>
        </w:rPr>
        <w:t>. O</w:t>
      </w:r>
      <w:r w:rsidR="005A3B5C">
        <w:rPr>
          <w:rFonts w:ascii="Times New Roman" w:hAnsi="Times New Roman" w:cs="Times New Roman"/>
          <w:sz w:val="24"/>
          <w:szCs w:val="24"/>
          <w:lang w:bidi="hi-IN"/>
        </w:rPr>
        <w:t xml:space="preserve">nly those NGOs which could raise the </w:t>
      </w:r>
      <w:r w:rsidR="007A53FE">
        <w:rPr>
          <w:rFonts w:ascii="Times New Roman" w:hAnsi="Times New Roman" w:cs="Times New Roman"/>
          <w:sz w:val="24"/>
          <w:szCs w:val="24"/>
          <w:lang w:bidi="hi-IN"/>
        </w:rPr>
        <w:t>fund</w:t>
      </w:r>
      <w:r w:rsidR="005A3B5C">
        <w:rPr>
          <w:rFonts w:ascii="Times New Roman" w:hAnsi="Times New Roman" w:cs="Times New Roman"/>
          <w:sz w:val="24"/>
          <w:szCs w:val="24"/>
          <w:lang w:bidi="hi-IN"/>
        </w:rPr>
        <w:t>s</w:t>
      </w:r>
      <w:r w:rsidR="0024638E">
        <w:rPr>
          <w:rFonts w:ascii="Times New Roman" w:hAnsi="Times New Roman" w:cs="Times New Roman"/>
          <w:sz w:val="24"/>
          <w:szCs w:val="24"/>
          <w:lang w:bidi="hi-IN"/>
        </w:rPr>
        <w:t>, who were totally committed to this</w:t>
      </w:r>
      <w:r w:rsidR="005A3B5C">
        <w:rPr>
          <w:rFonts w:ascii="Times New Roman" w:hAnsi="Times New Roman" w:cs="Times New Roman"/>
          <w:sz w:val="24"/>
          <w:szCs w:val="24"/>
          <w:lang w:bidi="hi-IN"/>
        </w:rPr>
        <w:t xml:space="preserve"> and </w:t>
      </w:r>
      <w:r w:rsidR="0024638E">
        <w:rPr>
          <w:rFonts w:ascii="Times New Roman" w:hAnsi="Times New Roman" w:cs="Times New Roman"/>
          <w:sz w:val="24"/>
          <w:szCs w:val="24"/>
          <w:lang w:bidi="hi-IN"/>
        </w:rPr>
        <w:t xml:space="preserve">who </w:t>
      </w:r>
      <w:r w:rsidR="0080561A">
        <w:rPr>
          <w:rFonts w:ascii="Times New Roman" w:hAnsi="Times New Roman" w:cs="Times New Roman"/>
          <w:sz w:val="24"/>
          <w:szCs w:val="24"/>
          <w:lang w:bidi="hi-IN"/>
        </w:rPr>
        <w:t xml:space="preserve">could withstand the delays in payments were able to continue. There is also the question of scaling-up and sustainability of this type of partnership. </w:t>
      </w:r>
    </w:p>
    <w:p w:rsidR="000D2E64" w:rsidRDefault="000D2E64"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Another type of PPP followed was the Service NGO scheme under Reproductive Child Health</w:t>
      </w:r>
      <w:r w:rsidR="007A53FE">
        <w:rPr>
          <w:rFonts w:ascii="Times New Roman" w:hAnsi="Times New Roman" w:cs="Times New Roman"/>
          <w:sz w:val="24"/>
          <w:szCs w:val="24"/>
          <w:lang w:bidi="hi-IN"/>
        </w:rPr>
        <w:t xml:space="preserve"> </w:t>
      </w:r>
      <w:r w:rsidR="00543788">
        <w:rPr>
          <w:rFonts w:ascii="Times New Roman" w:hAnsi="Times New Roman" w:cs="Times New Roman"/>
          <w:sz w:val="24"/>
          <w:szCs w:val="24"/>
          <w:lang w:bidi="hi-IN"/>
        </w:rPr>
        <w:t xml:space="preserve">(RCH) </w:t>
      </w:r>
      <w:r>
        <w:rPr>
          <w:rFonts w:ascii="Times New Roman" w:hAnsi="Times New Roman" w:cs="Times New Roman"/>
          <w:sz w:val="24"/>
          <w:szCs w:val="24"/>
          <w:lang w:bidi="hi-IN"/>
        </w:rPr>
        <w:t xml:space="preserve">where the </w:t>
      </w:r>
      <w:r w:rsidR="007A53FE">
        <w:rPr>
          <w:rFonts w:ascii="Times New Roman" w:hAnsi="Times New Roman" w:cs="Times New Roman"/>
          <w:sz w:val="24"/>
          <w:szCs w:val="24"/>
          <w:lang w:bidi="hi-IN"/>
        </w:rPr>
        <w:t>clinical services of RCH were contract</w:t>
      </w:r>
      <w:r w:rsidR="001737D4">
        <w:rPr>
          <w:rFonts w:ascii="Times New Roman" w:hAnsi="Times New Roman" w:cs="Times New Roman"/>
          <w:sz w:val="24"/>
          <w:szCs w:val="24"/>
          <w:lang w:bidi="hi-IN"/>
        </w:rPr>
        <w:t>ed</w:t>
      </w:r>
      <w:r w:rsidR="007A53FE">
        <w:rPr>
          <w:rFonts w:ascii="Times New Roman" w:hAnsi="Times New Roman" w:cs="Times New Roman"/>
          <w:sz w:val="24"/>
          <w:szCs w:val="24"/>
          <w:lang w:bidi="hi-IN"/>
        </w:rPr>
        <w:t xml:space="preserve"> out to </w:t>
      </w:r>
      <w:r>
        <w:rPr>
          <w:rFonts w:ascii="Times New Roman" w:hAnsi="Times New Roman" w:cs="Times New Roman"/>
          <w:sz w:val="24"/>
          <w:szCs w:val="24"/>
          <w:lang w:bidi="hi-IN"/>
        </w:rPr>
        <w:t>NGO</w:t>
      </w:r>
      <w:r w:rsidR="00543788">
        <w:rPr>
          <w:rFonts w:ascii="Times New Roman" w:hAnsi="Times New Roman" w:cs="Times New Roman"/>
          <w:sz w:val="24"/>
          <w:szCs w:val="24"/>
          <w:lang w:bidi="hi-IN"/>
        </w:rPr>
        <w:t xml:space="preserve">s </w:t>
      </w:r>
      <w:r>
        <w:rPr>
          <w:rFonts w:ascii="Times New Roman" w:hAnsi="Times New Roman" w:cs="Times New Roman"/>
          <w:sz w:val="24"/>
          <w:szCs w:val="24"/>
          <w:lang w:bidi="hi-IN"/>
        </w:rPr>
        <w:t xml:space="preserve">in underserved </w:t>
      </w:r>
      <w:proofErr w:type="gramStart"/>
      <w:r>
        <w:rPr>
          <w:rFonts w:ascii="Times New Roman" w:hAnsi="Times New Roman" w:cs="Times New Roman"/>
          <w:sz w:val="24"/>
          <w:szCs w:val="24"/>
          <w:lang w:bidi="hi-IN"/>
        </w:rPr>
        <w:t>areas,</w:t>
      </w:r>
      <w:proofErr w:type="gramEnd"/>
      <w:r>
        <w:rPr>
          <w:rFonts w:ascii="Times New Roman" w:hAnsi="Times New Roman" w:cs="Times New Roman"/>
          <w:sz w:val="24"/>
          <w:szCs w:val="24"/>
          <w:lang w:bidi="hi-IN"/>
        </w:rPr>
        <w:t xml:space="preserve"> the author could not get any evidence regarding this scheme. </w:t>
      </w:r>
    </w:p>
    <w:p w:rsidR="006164E6" w:rsidRDefault="006164E6"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4278E4" w:rsidRDefault="009B047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4.5</w:t>
      </w:r>
      <w:r>
        <w:rPr>
          <w:rFonts w:ascii="Times New Roman" w:hAnsi="Times New Roman" w:cs="Times New Roman"/>
          <w:b/>
          <w:bCs/>
          <w:sz w:val="24"/>
          <w:szCs w:val="24"/>
          <w:lang w:bidi="hi-IN"/>
        </w:rPr>
        <w:tab/>
      </w:r>
      <w:r w:rsidR="004278E4">
        <w:rPr>
          <w:rFonts w:ascii="Times New Roman" w:hAnsi="Times New Roman" w:cs="Times New Roman"/>
          <w:b/>
          <w:bCs/>
          <w:sz w:val="24"/>
          <w:szCs w:val="24"/>
          <w:lang w:bidi="hi-IN"/>
        </w:rPr>
        <w:t>DOTS treatment by private providers</w:t>
      </w:r>
    </w:p>
    <w:p w:rsidR="004278E4" w:rsidRDefault="004278E4"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p>
    <w:p w:rsidR="004278E4" w:rsidRDefault="004278E4"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sidRPr="004278E4">
        <w:rPr>
          <w:rFonts w:ascii="Times New Roman" w:hAnsi="Times New Roman" w:cs="Times New Roman"/>
          <w:sz w:val="24"/>
          <w:szCs w:val="24"/>
          <w:lang w:bidi="hi-IN"/>
        </w:rPr>
        <w:t xml:space="preserve">There is a </w:t>
      </w:r>
      <w:r>
        <w:rPr>
          <w:rFonts w:ascii="Times New Roman" w:hAnsi="Times New Roman" w:cs="Times New Roman"/>
          <w:sz w:val="24"/>
          <w:szCs w:val="24"/>
          <w:lang w:bidi="hi-IN"/>
        </w:rPr>
        <w:t xml:space="preserve">public-private mix model followed to enlist the support of the private providers to provide DOTS treatment as the first point of contact for most TB patients in India is the private service provider. </w:t>
      </w:r>
      <w:r w:rsidR="00F96D12">
        <w:rPr>
          <w:rFonts w:ascii="Times New Roman" w:hAnsi="Times New Roman" w:cs="Times New Roman"/>
          <w:sz w:val="24"/>
          <w:szCs w:val="24"/>
          <w:lang w:bidi="hi-IN"/>
        </w:rPr>
        <w:t>This is also to limit the damages caused by inappropriat</w:t>
      </w:r>
      <w:r w:rsidR="00BF1015">
        <w:rPr>
          <w:rFonts w:ascii="Times New Roman" w:hAnsi="Times New Roman" w:cs="Times New Roman"/>
          <w:sz w:val="24"/>
          <w:szCs w:val="24"/>
          <w:lang w:bidi="hi-IN"/>
        </w:rPr>
        <w:t>e prescriptions which increase</w:t>
      </w:r>
      <w:r w:rsidR="00F96D12">
        <w:rPr>
          <w:rFonts w:ascii="Times New Roman" w:hAnsi="Times New Roman" w:cs="Times New Roman"/>
          <w:sz w:val="24"/>
          <w:szCs w:val="24"/>
          <w:lang w:bidi="hi-IN"/>
        </w:rPr>
        <w:t xml:space="preserve"> drug resistance. There is extensive evidence for this type of PPP. There is evidence of this having been largely successful and very little negative </w:t>
      </w:r>
      <w:proofErr w:type="gramStart"/>
      <w:r w:rsidR="00F96D12">
        <w:rPr>
          <w:rFonts w:ascii="Times New Roman" w:hAnsi="Times New Roman" w:cs="Times New Roman"/>
          <w:sz w:val="24"/>
          <w:szCs w:val="24"/>
          <w:lang w:bidi="hi-IN"/>
        </w:rPr>
        <w:t>fallouts</w:t>
      </w:r>
      <w:r w:rsidR="006164E6">
        <w:rPr>
          <w:rFonts w:ascii="Times New Roman" w:hAnsi="Times New Roman" w:cs="Times New Roman"/>
          <w:sz w:val="24"/>
          <w:szCs w:val="24"/>
          <w:lang w:bidi="hi-IN"/>
        </w:rPr>
        <w:t xml:space="preserve"> </w:t>
      </w:r>
      <w:r w:rsidR="006164E6">
        <w:rPr>
          <w:rStyle w:val="EndnoteReference"/>
          <w:rFonts w:ascii="Times New Roman" w:hAnsi="Times New Roman" w:cs="Times New Roman"/>
          <w:sz w:val="24"/>
          <w:szCs w:val="24"/>
          <w:lang w:bidi="hi-IN"/>
        </w:rPr>
        <w:endnoteReference w:id="19"/>
      </w:r>
      <w:proofErr w:type="gramEnd"/>
      <w:r w:rsidR="003520F4">
        <w:rPr>
          <w:rFonts w:ascii="Times New Roman" w:hAnsi="Times New Roman" w:cs="Times New Roman"/>
          <w:sz w:val="24"/>
          <w:szCs w:val="24"/>
          <w:lang w:bidi="hi-IN"/>
        </w:rPr>
        <w:t xml:space="preserve"> </w:t>
      </w:r>
      <w:r w:rsidR="006164E6">
        <w:rPr>
          <w:rStyle w:val="EndnoteReference"/>
          <w:rFonts w:ascii="Times New Roman" w:hAnsi="Times New Roman" w:cs="Times New Roman"/>
          <w:sz w:val="24"/>
          <w:szCs w:val="24"/>
          <w:lang w:bidi="hi-IN"/>
        </w:rPr>
        <w:endnoteReference w:id="20"/>
      </w:r>
      <w:r w:rsidR="00F96D12">
        <w:rPr>
          <w:rFonts w:ascii="Times New Roman" w:hAnsi="Times New Roman" w:cs="Times New Roman"/>
          <w:sz w:val="24"/>
          <w:szCs w:val="24"/>
          <w:lang w:bidi="hi-IN"/>
        </w:rPr>
        <w:t xml:space="preserve">. </w:t>
      </w:r>
      <w:r w:rsidR="006164E6">
        <w:rPr>
          <w:rFonts w:ascii="Times New Roman" w:hAnsi="Times New Roman" w:cs="Times New Roman"/>
          <w:sz w:val="24"/>
          <w:szCs w:val="24"/>
          <w:lang w:bidi="hi-IN"/>
        </w:rPr>
        <w:t xml:space="preserve">But this is not so surprising since this is more an outpatient ambulatory care </w:t>
      </w:r>
      <w:r w:rsidR="002E0956">
        <w:rPr>
          <w:rFonts w:ascii="Times New Roman" w:hAnsi="Times New Roman" w:cs="Times New Roman"/>
          <w:sz w:val="24"/>
          <w:szCs w:val="24"/>
          <w:lang w:bidi="hi-IN"/>
        </w:rPr>
        <w:t xml:space="preserve">and in tune with the </w:t>
      </w:r>
      <w:r w:rsidR="006164E6">
        <w:rPr>
          <w:rFonts w:ascii="Times New Roman" w:hAnsi="Times New Roman" w:cs="Times New Roman"/>
          <w:sz w:val="24"/>
          <w:szCs w:val="24"/>
          <w:lang w:bidi="hi-IN"/>
        </w:rPr>
        <w:t>matrix presented in earlier sections</w:t>
      </w:r>
      <w:r w:rsidR="002E0956">
        <w:rPr>
          <w:rFonts w:ascii="Times New Roman" w:hAnsi="Times New Roman" w:cs="Times New Roman"/>
          <w:sz w:val="24"/>
          <w:szCs w:val="24"/>
          <w:lang w:bidi="hi-IN"/>
        </w:rPr>
        <w:t xml:space="preserve">. </w:t>
      </w:r>
    </w:p>
    <w:p w:rsidR="002E0956" w:rsidRDefault="002E0956"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p>
    <w:p w:rsidR="00CF5B83" w:rsidRDefault="009B047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4.6</w:t>
      </w:r>
      <w:r>
        <w:rPr>
          <w:rFonts w:ascii="Times New Roman" w:hAnsi="Times New Roman" w:cs="Times New Roman"/>
          <w:b/>
          <w:bCs/>
          <w:sz w:val="24"/>
          <w:szCs w:val="24"/>
          <w:lang w:bidi="hi-IN"/>
        </w:rPr>
        <w:tab/>
      </w:r>
      <w:r w:rsidR="00CF5B83">
        <w:rPr>
          <w:rFonts w:ascii="Times New Roman" w:hAnsi="Times New Roman" w:cs="Times New Roman"/>
          <w:b/>
          <w:bCs/>
          <w:sz w:val="24"/>
          <w:szCs w:val="24"/>
          <w:lang w:bidi="hi-IN"/>
        </w:rPr>
        <w:t>Insurance Schemes</w:t>
      </w:r>
    </w:p>
    <w:p w:rsidR="00CF5B83" w:rsidRDefault="00CF5B8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p>
    <w:p w:rsidR="007A53FE" w:rsidRDefault="007A53FE"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There have been many attempts to contract in the private providers through the </w:t>
      </w:r>
      <w:r w:rsidR="00437358">
        <w:rPr>
          <w:rFonts w:ascii="Times New Roman" w:hAnsi="Times New Roman" w:cs="Times New Roman"/>
          <w:sz w:val="24"/>
          <w:szCs w:val="24"/>
          <w:lang w:bidi="hi-IN"/>
        </w:rPr>
        <w:t xml:space="preserve">insurance schemes by the various state and central governments. Some of the models have been the </w:t>
      </w:r>
      <w:proofErr w:type="spellStart"/>
      <w:r w:rsidR="00437358">
        <w:rPr>
          <w:rFonts w:ascii="Times New Roman" w:hAnsi="Times New Roman" w:cs="Times New Roman"/>
          <w:sz w:val="24"/>
          <w:szCs w:val="24"/>
          <w:lang w:bidi="hi-IN"/>
        </w:rPr>
        <w:t>Yeshaswini</w:t>
      </w:r>
      <w:proofErr w:type="spellEnd"/>
      <w:r w:rsidR="00437358">
        <w:rPr>
          <w:rFonts w:ascii="Times New Roman" w:hAnsi="Times New Roman" w:cs="Times New Roman"/>
          <w:sz w:val="24"/>
          <w:szCs w:val="24"/>
          <w:lang w:bidi="hi-IN"/>
        </w:rPr>
        <w:t xml:space="preserve"> scheme in Karnataka, Rajiv </w:t>
      </w:r>
      <w:proofErr w:type="spellStart"/>
      <w:r w:rsidR="00437358">
        <w:rPr>
          <w:rFonts w:ascii="Times New Roman" w:hAnsi="Times New Roman" w:cs="Times New Roman"/>
          <w:sz w:val="24"/>
          <w:szCs w:val="24"/>
          <w:lang w:bidi="hi-IN"/>
        </w:rPr>
        <w:t>Arogyasri</w:t>
      </w:r>
      <w:proofErr w:type="spellEnd"/>
      <w:r w:rsidR="00437358">
        <w:rPr>
          <w:rFonts w:ascii="Times New Roman" w:hAnsi="Times New Roman" w:cs="Times New Roman"/>
          <w:sz w:val="24"/>
          <w:szCs w:val="24"/>
          <w:lang w:bidi="hi-IN"/>
        </w:rPr>
        <w:t xml:space="preserve"> in Andhra Pradesh, </w:t>
      </w:r>
      <w:proofErr w:type="spellStart"/>
      <w:r w:rsidR="00437358">
        <w:rPr>
          <w:rFonts w:ascii="Times New Roman" w:hAnsi="Times New Roman" w:cs="Times New Roman"/>
          <w:sz w:val="24"/>
          <w:szCs w:val="24"/>
          <w:lang w:bidi="hi-IN"/>
        </w:rPr>
        <w:t>Kalaignar</w:t>
      </w:r>
      <w:proofErr w:type="spellEnd"/>
      <w:r w:rsidR="00437358">
        <w:rPr>
          <w:rFonts w:ascii="Times New Roman" w:hAnsi="Times New Roman" w:cs="Times New Roman"/>
          <w:sz w:val="24"/>
          <w:szCs w:val="24"/>
          <w:lang w:bidi="hi-IN"/>
        </w:rPr>
        <w:t xml:space="preserve"> scheme in Tamil Nadu, </w:t>
      </w:r>
      <w:proofErr w:type="spellStart"/>
      <w:r w:rsidR="00437358">
        <w:rPr>
          <w:rFonts w:ascii="Times New Roman" w:hAnsi="Times New Roman" w:cs="Times New Roman"/>
          <w:sz w:val="24"/>
          <w:szCs w:val="24"/>
          <w:lang w:bidi="hi-IN"/>
        </w:rPr>
        <w:t>Rashtriya</w:t>
      </w:r>
      <w:proofErr w:type="spellEnd"/>
      <w:r w:rsidR="00437358">
        <w:rPr>
          <w:rFonts w:ascii="Times New Roman" w:hAnsi="Times New Roman" w:cs="Times New Roman"/>
          <w:sz w:val="24"/>
          <w:szCs w:val="24"/>
          <w:lang w:bidi="hi-IN"/>
        </w:rPr>
        <w:t xml:space="preserve"> </w:t>
      </w:r>
      <w:proofErr w:type="spellStart"/>
      <w:r w:rsidR="00437358">
        <w:rPr>
          <w:rFonts w:ascii="Times New Roman" w:hAnsi="Times New Roman" w:cs="Times New Roman"/>
          <w:sz w:val="24"/>
          <w:szCs w:val="24"/>
          <w:lang w:bidi="hi-IN"/>
        </w:rPr>
        <w:t>Swasthya</w:t>
      </w:r>
      <w:proofErr w:type="spellEnd"/>
      <w:r w:rsidR="00437358">
        <w:rPr>
          <w:rFonts w:ascii="Times New Roman" w:hAnsi="Times New Roman" w:cs="Times New Roman"/>
          <w:sz w:val="24"/>
          <w:szCs w:val="24"/>
          <w:lang w:bidi="hi-IN"/>
        </w:rPr>
        <w:t xml:space="preserve"> </w:t>
      </w:r>
      <w:proofErr w:type="spellStart"/>
      <w:r w:rsidR="00437358">
        <w:rPr>
          <w:rFonts w:ascii="Times New Roman" w:hAnsi="Times New Roman" w:cs="Times New Roman"/>
          <w:sz w:val="24"/>
          <w:szCs w:val="24"/>
          <w:lang w:bidi="hi-IN"/>
        </w:rPr>
        <w:t>Bima</w:t>
      </w:r>
      <w:proofErr w:type="spellEnd"/>
      <w:r w:rsidR="00437358">
        <w:rPr>
          <w:rFonts w:ascii="Times New Roman" w:hAnsi="Times New Roman" w:cs="Times New Roman"/>
          <w:sz w:val="24"/>
          <w:szCs w:val="24"/>
          <w:lang w:bidi="hi-IN"/>
        </w:rPr>
        <w:t xml:space="preserve"> </w:t>
      </w:r>
      <w:proofErr w:type="spellStart"/>
      <w:r w:rsidR="00437358">
        <w:rPr>
          <w:rFonts w:ascii="Times New Roman" w:hAnsi="Times New Roman" w:cs="Times New Roman"/>
          <w:sz w:val="24"/>
          <w:szCs w:val="24"/>
          <w:lang w:bidi="hi-IN"/>
        </w:rPr>
        <w:t>Yojana</w:t>
      </w:r>
      <w:proofErr w:type="spellEnd"/>
      <w:r w:rsidR="00437358">
        <w:rPr>
          <w:rFonts w:ascii="Times New Roman" w:hAnsi="Times New Roman" w:cs="Times New Roman"/>
          <w:sz w:val="24"/>
          <w:szCs w:val="24"/>
          <w:lang w:bidi="hi-IN"/>
        </w:rPr>
        <w:t xml:space="preserve"> at an all India level. Since most of these initiatives are relatively new, there have been very little systematic reviews done but some of them give an indication to the direction in which each of these are heading. </w:t>
      </w:r>
    </w:p>
    <w:p w:rsidR="007A53FE" w:rsidRDefault="007A53FE"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437358" w:rsidRDefault="00437358"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In the case of Rajiv </w:t>
      </w:r>
      <w:proofErr w:type="spellStart"/>
      <w:r>
        <w:rPr>
          <w:rFonts w:ascii="Times New Roman" w:hAnsi="Times New Roman" w:cs="Times New Roman"/>
          <w:sz w:val="24"/>
          <w:szCs w:val="24"/>
          <w:lang w:bidi="hi-IN"/>
        </w:rPr>
        <w:t>Arogyasri</w:t>
      </w:r>
      <w:proofErr w:type="spellEnd"/>
      <w:r>
        <w:rPr>
          <w:rFonts w:ascii="Times New Roman" w:hAnsi="Times New Roman" w:cs="Times New Roman"/>
          <w:sz w:val="24"/>
          <w:szCs w:val="24"/>
          <w:lang w:bidi="hi-IN"/>
        </w:rPr>
        <w:t xml:space="preserve"> in Andhra Pradesh, the problems of BPL identification was overcome by expanding the net wider and almost 80% of the population getting the benefits. The scheme has </w:t>
      </w:r>
      <w:r w:rsidR="004278E4">
        <w:rPr>
          <w:rFonts w:ascii="Times New Roman" w:hAnsi="Times New Roman" w:cs="Times New Roman"/>
          <w:sz w:val="24"/>
          <w:szCs w:val="24"/>
          <w:lang w:bidi="hi-IN"/>
        </w:rPr>
        <w:t>reduced illness related expenditure for the beneficiaries to a large extent</w:t>
      </w:r>
      <w:r>
        <w:rPr>
          <w:rFonts w:ascii="Times New Roman" w:hAnsi="Times New Roman" w:cs="Times New Roman"/>
          <w:sz w:val="24"/>
          <w:szCs w:val="24"/>
          <w:lang w:bidi="hi-IN"/>
        </w:rPr>
        <w:t>. But since the insurance offers a carte blanche to the private providers, with no regulation on the rational treatment protocols, the resulting over-</w:t>
      </w:r>
      <w:proofErr w:type="spellStart"/>
      <w:r>
        <w:rPr>
          <w:rFonts w:ascii="Times New Roman" w:hAnsi="Times New Roman" w:cs="Times New Roman"/>
          <w:sz w:val="24"/>
          <w:szCs w:val="24"/>
          <w:lang w:bidi="hi-IN"/>
        </w:rPr>
        <w:t>medicalization</w:t>
      </w:r>
      <w:proofErr w:type="spellEnd"/>
      <w:r>
        <w:rPr>
          <w:rFonts w:ascii="Times New Roman" w:hAnsi="Times New Roman" w:cs="Times New Roman"/>
          <w:sz w:val="24"/>
          <w:szCs w:val="24"/>
          <w:lang w:bidi="hi-IN"/>
        </w:rPr>
        <w:t xml:space="preserve"> has led to cost overruns. There is a question mark over the </w:t>
      </w:r>
      <w:r w:rsidR="00CA1DEF">
        <w:rPr>
          <w:rFonts w:ascii="Times New Roman" w:hAnsi="Times New Roman" w:cs="Times New Roman"/>
          <w:sz w:val="24"/>
          <w:szCs w:val="24"/>
          <w:lang w:bidi="hi-IN"/>
        </w:rPr>
        <w:t xml:space="preserve">financial sustainability of such a scheme. </w:t>
      </w:r>
      <w:r>
        <w:rPr>
          <w:rFonts w:ascii="Times New Roman" w:hAnsi="Times New Roman" w:cs="Times New Roman"/>
          <w:sz w:val="24"/>
          <w:szCs w:val="24"/>
          <w:lang w:bidi="hi-IN"/>
        </w:rPr>
        <w:t>In fact, the Andhra Pradesh government had requested the central government for additi</w:t>
      </w:r>
      <w:r w:rsidR="00CA1DEF">
        <w:rPr>
          <w:rFonts w:ascii="Times New Roman" w:hAnsi="Times New Roman" w:cs="Times New Roman"/>
          <w:sz w:val="24"/>
          <w:szCs w:val="24"/>
          <w:lang w:bidi="hi-IN"/>
        </w:rPr>
        <w:t xml:space="preserve">onal funds, which was not </w:t>
      </w:r>
      <w:r w:rsidR="00264A73">
        <w:rPr>
          <w:rFonts w:ascii="Times New Roman" w:hAnsi="Times New Roman" w:cs="Times New Roman"/>
          <w:sz w:val="24"/>
          <w:szCs w:val="24"/>
          <w:lang w:bidi="hi-IN"/>
        </w:rPr>
        <w:t>approved</w:t>
      </w:r>
      <w:r w:rsidR="00264A73">
        <w:rPr>
          <w:rStyle w:val="EndnoteReference"/>
          <w:rFonts w:ascii="Times New Roman" w:hAnsi="Times New Roman" w:cs="Times New Roman"/>
          <w:sz w:val="24"/>
          <w:szCs w:val="24"/>
          <w:lang w:bidi="hi-IN"/>
        </w:rPr>
        <w:endnoteReference w:id="21"/>
      </w:r>
      <w:r w:rsidR="00264A73">
        <w:rPr>
          <w:rFonts w:ascii="Times New Roman" w:hAnsi="Times New Roman" w:cs="Times New Roman"/>
          <w:sz w:val="24"/>
          <w:szCs w:val="24"/>
          <w:lang w:bidi="hi-IN"/>
        </w:rPr>
        <w:t xml:space="preserve">. </w:t>
      </w:r>
      <w:proofErr w:type="gramStart"/>
      <w:r w:rsidR="004278E4">
        <w:rPr>
          <w:rFonts w:ascii="Times New Roman" w:hAnsi="Times New Roman" w:cs="Times New Roman"/>
          <w:sz w:val="24"/>
          <w:szCs w:val="24"/>
          <w:lang w:bidi="hi-IN"/>
        </w:rPr>
        <w:t xml:space="preserve">Regarding the </w:t>
      </w:r>
      <w:proofErr w:type="spellStart"/>
      <w:r w:rsidR="004278E4">
        <w:rPr>
          <w:rFonts w:ascii="Times New Roman" w:hAnsi="Times New Roman" w:cs="Times New Roman"/>
          <w:sz w:val="24"/>
          <w:szCs w:val="24"/>
          <w:lang w:bidi="hi-IN"/>
        </w:rPr>
        <w:t>Rashtriya</w:t>
      </w:r>
      <w:proofErr w:type="spellEnd"/>
      <w:r w:rsidR="004278E4">
        <w:rPr>
          <w:rFonts w:ascii="Times New Roman" w:hAnsi="Times New Roman" w:cs="Times New Roman"/>
          <w:sz w:val="24"/>
          <w:szCs w:val="24"/>
          <w:lang w:bidi="hi-IN"/>
        </w:rPr>
        <w:t xml:space="preserve"> </w:t>
      </w:r>
      <w:proofErr w:type="spellStart"/>
      <w:r w:rsidR="004278E4">
        <w:rPr>
          <w:rFonts w:ascii="Times New Roman" w:hAnsi="Times New Roman" w:cs="Times New Roman"/>
          <w:sz w:val="24"/>
          <w:szCs w:val="24"/>
          <w:lang w:bidi="hi-IN"/>
        </w:rPr>
        <w:t>Swasthya</w:t>
      </w:r>
      <w:proofErr w:type="spellEnd"/>
      <w:r w:rsidR="004278E4">
        <w:rPr>
          <w:rFonts w:ascii="Times New Roman" w:hAnsi="Times New Roman" w:cs="Times New Roman"/>
          <w:sz w:val="24"/>
          <w:szCs w:val="24"/>
          <w:lang w:bidi="hi-IN"/>
        </w:rPr>
        <w:t xml:space="preserve"> </w:t>
      </w:r>
      <w:proofErr w:type="spellStart"/>
      <w:r w:rsidR="004278E4">
        <w:rPr>
          <w:rFonts w:ascii="Times New Roman" w:hAnsi="Times New Roman" w:cs="Times New Roman"/>
          <w:sz w:val="24"/>
          <w:szCs w:val="24"/>
          <w:lang w:bidi="hi-IN"/>
        </w:rPr>
        <w:t>Bima</w:t>
      </w:r>
      <w:proofErr w:type="spellEnd"/>
      <w:r w:rsidR="004278E4">
        <w:rPr>
          <w:rFonts w:ascii="Times New Roman" w:hAnsi="Times New Roman" w:cs="Times New Roman"/>
          <w:sz w:val="24"/>
          <w:szCs w:val="24"/>
          <w:lang w:bidi="hi-IN"/>
        </w:rPr>
        <w:t xml:space="preserve"> </w:t>
      </w:r>
      <w:proofErr w:type="spellStart"/>
      <w:r w:rsidR="004278E4">
        <w:rPr>
          <w:rFonts w:ascii="Times New Roman" w:hAnsi="Times New Roman" w:cs="Times New Roman"/>
          <w:sz w:val="24"/>
          <w:szCs w:val="24"/>
          <w:lang w:bidi="hi-IN"/>
        </w:rPr>
        <w:t>Yojana</w:t>
      </w:r>
      <w:proofErr w:type="spellEnd"/>
      <w:r w:rsidR="008D499A">
        <w:rPr>
          <w:rFonts w:ascii="Times New Roman" w:hAnsi="Times New Roman" w:cs="Times New Roman"/>
          <w:sz w:val="24"/>
          <w:szCs w:val="24"/>
          <w:lang w:bidi="hi-IN"/>
        </w:rPr>
        <w:t xml:space="preserve"> (RSBY)</w:t>
      </w:r>
      <w:r w:rsidR="004278E4">
        <w:rPr>
          <w:rFonts w:ascii="Times New Roman" w:hAnsi="Times New Roman" w:cs="Times New Roman"/>
          <w:sz w:val="24"/>
          <w:szCs w:val="24"/>
          <w:lang w:bidi="hi-IN"/>
        </w:rPr>
        <w:t xml:space="preserve"> run by t</w:t>
      </w:r>
      <w:r w:rsidR="008D499A">
        <w:rPr>
          <w:rFonts w:ascii="Times New Roman" w:hAnsi="Times New Roman" w:cs="Times New Roman"/>
          <w:sz w:val="24"/>
          <w:szCs w:val="24"/>
          <w:lang w:bidi="hi-IN"/>
        </w:rPr>
        <w:t>he Labour department.</w:t>
      </w:r>
      <w:proofErr w:type="gramEnd"/>
      <w:r w:rsidR="008D499A">
        <w:rPr>
          <w:rFonts w:ascii="Times New Roman" w:hAnsi="Times New Roman" w:cs="Times New Roman"/>
          <w:sz w:val="24"/>
          <w:szCs w:val="24"/>
          <w:lang w:bidi="hi-IN"/>
        </w:rPr>
        <w:t xml:space="preserve"> Here again there are anecdotal reports coming in about “moral hazards” (supplier-induced</w:t>
      </w:r>
      <w:proofErr w:type="gramStart"/>
      <w:r w:rsidR="008D499A">
        <w:rPr>
          <w:rFonts w:ascii="Times New Roman" w:hAnsi="Times New Roman" w:cs="Times New Roman"/>
          <w:sz w:val="24"/>
          <w:szCs w:val="24"/>
          <w:lang w:bidi="hi-IN"/>
        </w:rPr>
        <w:t>)</w:t>
      </w:r>
      <w:r w:rsidR="00DA1E7A">
        <w:rPr>
          <w:rFonts w:ascii="Times New Roman" w:hAnsi="Times New Roman" w:cs="Times New Roman"/>
          <w:sz w:val="24"/>
          <w:szCs w:val="24"/>
          <w:lang w:bidi="hi-IN"/>
        </w:rPr>
        <w:t xml:space="preserve"> </w:t>
      </w:r>
      <w:proofErr w:type="gramEnd"/>
      <w:r w:rsidR="00DA1E7A">
        <w:rPr>
          <w:rStyle w:val="EndnoteReference"/>
          <w:rFonts w:ascii="Times New Roman" w:hAnsi="Times New Roman" w:cs="Times New Roman"/>
          <w:sz w:val="24"/>
          <w:szCs w:val="24"/>
          <w:lang w:bidi="hi-IN"/>
        </w:rPr>
        <w:endnoteReference w:id="22"/>
      </w:r>
      <w:r w:rsidR="008D499A">
        <w:rPr>
          <w:rFonts w:ascii="Times New Roman" w:hAnsi="Times New Roman" w:cs="Times New Roman"/>
          <w:sz w:val="24"/>
          <w:szCs w:val="24"/>
          <w:lang w:bidi="hi-IN"/>
        </w:rPr>
        <w:t xml:space="preserve">. If left unregulated, the costs of healthcare provision under this could also spiral out of control. </w:t>
      </w:r>
    </w:p>
    <w:p w:rsidR="008D499A" w:rsidRDefault="008D499A"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8D499A" w:rsidRDefault="009B0473"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r>
        <w:rPr>
          <w:rFonts w:ascii="Times New Roman" w:hAnsi="Times New Roman" w:cs="Times New Roman"/>
          <w:b/>
          <w:bCs/>
          <w:sz w:val="24"/>
          <w:szCs w:val="24"/>
          <w:lang w:bidi="hi-IN"/>
        </w:rPr>
        <w:t>5.0</w:t>
      </w:r>
      <w:r>
        <w:rPr>
          <w:rFonts w:ascii="Times New Roman" w:hAnsi="Times New Roman" w:cs="Times New Roman"/>
          <w:b/>
          <w:bCs/>
          <w:sz w:val="24"/>
          <w:szCs w:val="24"/>
          <w:lang w:bidi="hi-IN"/>
        </w:rPr>
        <w:tab/>
      </w:r>
      <w:r w:rsidR="008D499A" w:rsidRPr="008D499A">
        <w:rPr>
          <w:rFonts w:ascii="Times New Roman" w:hAnsi="Times New Roman" w:cs="Times New Roman"/>
          <w:b/>
          <w:bCs/>
          <w:sz w:val="24"/>
          <w:szCs w:val="24"/>
          <w:lang w:bidi="hi-IN"/>
        </w:rPr>
        <w:t>Conclusion</w:t>
      </w:r>
      <w:r w:rsidR="0072134C">
        <w:rPr>
          <w:rFonts w:ascii="Times New Roman" w:hAnsi="Times New Roman" w:cs="Times New Roman"/>
          <w:b/>
          <w:bCs/>
          <w:sz w:val="24"/>
          <w:szCs w:val="24"/>
          <w:lang w:bidi="hi-IN"/>
        </w:rPr>
        <w:t>s and Recommendations</w:t>
      </w:r>
    </w:p>
    <w:p w:rsidR="008D499A" w:rsidRDefault="008D499A"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bidi="hi-IN"/>
        </w:rPr>
      </w:pPr>
    </w:p>
    <w:p w:rsidR="008D499A" w:rsidRDefault="008D499A"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The previous sections have tried to argue both from a theoretical standpoint as well as from what little evidence there is regarding the experience of operation of PPPs in India. </w:t>
      </w:r>
      <w:r w:rsidR="00DA54E0">
        <w:rPr>
          <w:rFonts w:ascii="Times New Roman" w:hAnsi="Times New Roman" w:cs="Times New Roman"/>
          <w:sz w:val="24"/>
          <w:szCs w:val="24"/>
          <w:lang w:bidi="hi-IN"/>
        </w:rPr>
        <w:t xml:space="preserve">This </w:t>
      </w:r>
      <w:r w:rsidR="00C24F5B">
        <w:rPr>
          <w:rFonts w:ascii="Times New Roman" w:hAnsi="Times New Roman" w:cs="Times New Roman"/>
          <w:sz w:val="24"/>
          <w:szCs w:val="24"/>
          <w:lang w:bidi="hi-IN"/>
        </w:rPr>
        <w:t>paper</w:t>
      </w:r>
      <w:r w:rsidR="00DA54E0">
        <w:rPr>
          <w:rFonts w:ascii="Times New Roman" w:hAnsi="Times New Roman" w:cs="Times New Roman"/>
          <w:sz w:val="24"/>
          <w:szCs w:val="24"/>
          <w:lang w:bidi="hi-IN"/>
        </w:rPr>
        <w:t xml:space="preserve"> has tried to put forth arguments for under what conditions PPPs can work. The matrix drawn clearly illustrates that as one moves more and more towards the clinical aspects of healthcare services, it becomes more and more difficult to enforce th</w:t>
      </w:r>
      <w:r w:rsidR="004400A7">
        <w:rPr>
          <w:rFonts w:ascii="Times New Roman" w:hAnsi="Times New Roman" w:cs="Times New Roman"/>
          <w:sz w:val="24"/>
          <w:szCs w:val="24"/>
          <w:lang w:bidi="hi-IN"/>
        </w:rPr>
        <w:t>e contractual obligations.</w:t>
      </w:r>
      <w:r w:rsidR="00DA54E0">
        <w:rPr>
          <w:rFonts w:ascii="Times New Roman" w:hAnsi="Times New Roman" w:cs="Times New Roman"/>
          <w:sz w:val="24"/>
          <w:szCs w:val="24"/>
          <w:lang w:bidi="hi-IN"/>
        </w:rPr>
        <w:t xml:space="preserve">  </w:t>
      </w:r>
      <w:r w:rsidR="00EC56FE">
        <w:rPr>
          <w:rFonts w:ascii="Times New Roman" w:hAnsi="Times New Roman" w:cs="Times New Roman"/>
          <w:sz w:val="24"/>
          <w:szCs w:val="24"/>
          <w:lang w:bidi="hi-IN"/>
        </w:rPr>
        <w:t xml:space="preserve">In India, </w:t>
      </w:r>
      <w:r w:rsidR="003F0E68">
        <w:rPr>
          <w:rFonts w:ascii="Times New Roman" w:hAnsi="Times New Roman" w:cs="Times New Roman"/>
          <w:sz w:val="24"/>
          <w:szCs w:val="24"/>
          <w:lang w:bidi="hi-IN"/>
        </w:rPr>
        <w:t xml:space="preserve">there is also the informal linkage and blurring of the lines between the public and the </w:t>
      </w:r>
      <w:r w:rsidR="003F0E68">
        <w:rPr>
          <w:rFonts w:ascii="Times New Roman" w:hAnsi="Times New Roman" w:cs="Times New Roman"/>
          <w:sz w:val="24"/>
          <w:szCs w:val="24"/>
          <w:lang w:bidi="hi-IN"/>
        </w:rPr>
        <w:lastRenderedPageBreak/>
        <w:t xml:space="preserve">private in which the public sector provider doubles up as a private provider. Providing public money support to the private providers through public private partnerships in the current scenario where public sector is weak, regulations and rationality of care are absent is going to result in the ‘contracted’ calling the shots. The literature is replete with exhortations to improve the regulatory scenario and strengthen public sector in the </w:t>
      </w:r>
      <w:proofErr w:type="gramStart"/>
      <w:r w:rsidR="003F0E68">
        <w:rPr>
          <w:rFonts w:ascii="Times New Roman" w:hAnsi="Times New Roman" w:cs="Times New Roman"/>
          <w:sz w:val="24"/>
          <w:szCs w:val="24"/>
          <w:lang w:bidi="hi-IN"/>
        </w:rPr>
        <w:t xml:space="preserve">country </w:t>
      </w:r>
      <w:r w:rsidR="003F0E68">
        <w:rPr>
          <w:rStyle w:val="EndnoteReference"/>
          <w:rFonts w:ascii="Times New Roman" w:hAnsi="Times New Roman" w:cs="Times New Roman"/>
          <w:sz w:val="24"/>
          <w:szCs w:val="24"/>
          <w:lang w:bidi="hi-IN"/>
        </w:rPr>
        <w:endnoteReference w:id="23"/>
      </w:r>
      <w:proofErr w:type="gramEnd"/>
      <w:r w:rsidR="003520F4">
        <w:rPr>
          <w:rFonts w:ascii="Times New Roman" w:hAnsi="Times New Roman" w:cs="Times New Roman"/>
          <w:sz w:val="24"/>
          <w:szCs w:val="24"/>
          <w:lang w:bidi="hi-IN"/>
        </w:rPr>
        <w:t xml:space="preserve"> </w:t>
      </w:r>
      <w:r w:rsidR="003F0E68">
        <w:rPr>
          <w:rStyle w:val="EndnoteReference"/>
          <w:rFonts w:ascii="Times New Roman" w:hAnsi="Times New Roman" w:cs="Times New Roman"/>
          <w:sz w:val="24"/>
          <w:szCs w:val="24"/>
          <w:lang w:bidi="hi-IN"/>
        </w:rPr>
        <w:endnoteReference w:id="24"/>
      </w:r>
      <w:r w:rsidR="003F0E68">
        <w:rPr>
          <w:rFonts w:ascii="Times New Roman" w:hAnsi="Times New Roman" w:cs="Times New Roman"/>
          <w:sz w:val="24"/>
          <w:szCs w:val="24"/>
          <w:lang w:bidi="hi-IN"/>
        </w:rPr>
        <w:t xml:space="preserve">. But given the current scenario when there is considerable infrastructure and human resources available </w:t>
      </w:r>
      <w:r w:rsidR="003A4440">
        <w:rPr>
          <w:rFonts w:ascii="Times New Roman" w:hAnsi="Times New Roman" w:cs="Times New Roman"/>
          <w:sz w:val="24"/>
          <w:szCs w:val="24"/>
          <w:lang w:bidi="hi-IN"/>
        </w:rPr>
        <w:t xml:space="preserve">in the private </w:t>
      </w:r>
      <w:r w:rsidR="006B3CEC">
        <w:rPr>
          <w:rFonts w:ascii="Times New Roman" w:hAnsi="Times New Roman" w:cs="Times New Roman"/>
          <w:sz w:val="24"/>
          <w:szCs w:val="24"/>
          <w:lang w:bidi="hi-IN"/>
        </w:rPr>
        <w:t>and where the private is largely unregulated and irrational</w:t>
      </w:r>
      <w:r w:rsidR="00340736">
        <w:rPr>
          <w:rFonts w:ascii="Times New Roman" w:hAnsi="Times New Roman" w:cs="Times New Roman"/>
          <w:sz w:val="24"/>
          <w:szCs w:val="24"/>
          <w:lang w:bidi="hi-IN"/>
        </w:rPr>
        <w:t>, this gives a good chance to harness the private resources for public purposes but from a point of strength rather than from a point of weakness what is called as the ‘Public harnessing and socialisation’ of the private medical resources</w:t>
      </w:r>
      <w:r w:rsidR="00340736">
        <w:rPr>
          <w:rStyle w:val="EndnoteReference"/>
          <w:rFonts w:ascii="Times New Roman" w:hAnsi="Times New Roman" w:cs="Times New Roman"/>
          <w:sz w:val="24"/>
          <w:szCs w:val="24"/>
          <w:lang w:bidi="hi-IN"/>
        </w:rPr>
        <w:endnoteReference w:id="25"/>
      </w:r>
      <w:r w:rsidR="00340736">
        <w:rPr>
          <w:rFonts w:ascii="Times New Roman" w:hAnsi="Times New Roman" w:cs="Times New Roman"/>
          <w:sz w:val="24"/>
          <w:szCs w:val="24"/>
          <w:lang w:bidi="hi-IN"/>
        </w:rPr>
        <w:t xml:space="preserve">. </w:t>
      </w:r>
      <w:r w:rsidR="003A4440">
        <w:rPr>
          <w:rFonts w:ascii="Times New Roman" w:hAnsi="Times New Roman" w:cs="Times New Roman"/>
          <w:sz w:val="24"/>
          <w:szCs w:val="24"/>
          <w:lang w:bidi="hi-IN"/>
        </w:rPr>
        <w:t>S</w:t>
      </w:r>
      <w:r w:rsidR="0092387B">
        <w:rPr>
          <w:rFonts w:ascii="Times New Roman" w:hAnsi="Times New Roman" w:cs="Times New Roman"/>
          <w:sz w:val="24"/>
          <w:szCs w:val="24"/>
          <w:lang w:bidi="hi-IN"/>
        </w:rPr>
        <w:t xml:space="preserve">uch a relationship should contribute to the strengthening of the public health system; </w:t>
      </w:r>
      <w:r w:rsidR="006E5557">
        <w:rPr>
          <w:rFonts w:ascii="Times New Roman" w:hAnsi="Times New Roman" w:cs="Times New Roman"/>
          <w:sz w:val="24"/>
          <w:szCs w:val="24"/>
          <w:lang w:bidi="hi-IN"/>
        </w:rPr>
        <w:t xml:space="preserve">norms for quality, rationality and costs of care should be developed and strictly enforced; </w:t>
      </w:r>
      <w:r w:rsidR="0092387B">
        <w:rPr>
          <w:rFonts w:ascii="Times New Roman" w:hAnsi="Times New Roman" w:cs="Times New Roman"/>
          <w:sz w:val="24"/>
          <w:szCs w:val="24"/>
          <w:lang w:bidi="hi-IN"/>
        </w:rPr>
        <w:t>all publicly funded services should function as a publ</w:t>
      </w:r>
      <w:r w:rsidR="006E5557">
        <w:rPr>
          <w:rFonts w:ascii="Times New Roman" w:hAnsi="Times New Roman" w:cs="Times New Roman"/>
          <w:sz w:val="24"/>
          <w:szCs w:val="24"/>
          <w:lang w:bidi="hi-IN"/>
        </w:rPr>
        <w:t>ic service regarding the</w:t>
      </w:r>
      <w:r w:rsidR="0092387B">
        <w:rPr>
          <w:rFonts w:ascii="Times New Roman" w:hAnsi="Times New Roman" w:cs="Times New Roman"/>
          <w:sz w:val="24"/>
          <w:szCs w:val="24"/>
          <w:lang w:bidi="hi-IN"/>
        </w:rPr>
        <w:t xml:space="preserve"> </w:t>
      </w:r>
      <w:r w:rsidR="006E5557">
        <w:rPr>
          <w:rFonts w:ascii="Times New Roman" w:hAnsi="Times New Roman" w:cs="Times New Roman"/>
          <w:sz w:val="24"/>
          <w:szCs w:val="24"/>
          <w:lang w:bidi="hi-IN"/>
        </w:rPr>
        <w:t xml:space="preserve">patients’ </w:t>
      </w:r>
      <w:r w:rsidR="0092387B">
        <w:rPr>
          <w:rFonts w:ascii="Times New Roman" w:hAnsi="Times New Roman" w:cs="Times New Roman"/>
          <w:sz w:val="24"/>
          <w:szCs w:val="24"/>
          <w:lang w:bidi="hi-IN"/>
        </w:rPr>
        <w:t>entitlements</w:t>
      </w:r>
      <w:r w:rsidR="003A4440">
        <w:rPr>
          <w:rFonts w:ascii="Times New Roman" w:hAnsi="Times New Roman" w:cs="Times New Roman"/>
          <w:sz w:val="24"/>
          <w:szCs w:val="24"/>
          <w:lang w:bidi="hi-IN"/>
        </w:rPr>
        <w:t>. This,</w:t>
      </w:r>
      <w:r w:rsidR="006E5557">
        <w:rPr>
          <w:rFonts w:ascii="Times New Roman" w:hAnsi="Times New Roman" w:cs="Times New Roman"/>
          <w:sz w:val="24"/>
          <w:szCs w:val="24"/>
          <w:lang w:bidi="hi-IN"/>
        </w:rPr>
        <w:t xml:space="preserve"> in fact the case with the private providers contracted in both the universal healthcare systems of NHS, UK and Canada.</w:t>
      </w:r>
      <w:r w:rsidR="003A4440">
        <w:rPr>
          <w:rFonts w:ascii="Times New Roman" w:hAnsi="Times New Roman" w:cs="Times New Roman"/>
          <w:sz w:val="24"/>
          <w:szCs w:val="24"/>
          <w:lang w:bidi="hi-IN"/>
        </w:rPr>
        <w:t xml:space="preserve"> This would also be a good opportunity to bring the private providers into the regulatory and rational fold.</w:t>
      </w:r>
      <w:r w:rsidR="00E16DD9">
        <w:rPr>
          <w:rFonts w:ascii="Times New Roman" w:hAnsi="Times New Roman" w:cs="Times New Roman"/>
          <w:sz w:val="24"/>
          <w:szCs w:val="24"/>
          <w:lang w:bidi="hi-IN"/>
        </w:rPr>
        <w:t xml:space="preserve"> But in order to achieve this the capacities of the </w:t>
      </w:r>
      <w:r w:rsidR="00433B5C">
        <w:rPr>
          <w:rFonts w:ascii="Times New Roman" w:hAnsi="Times New Roman" w:cs="Times New Roman"/>
          <w:sz w:val="24"/>
          <w:szCs w:val="24"/>
          <w:lang w:bidi="hi-IN"/>
        </w:rPr>
        <w:t>Public health system to monitor and</w:t>
      </w:r>
      <w:r w:rsidR="00E16DD9">
        <w:rPr>
          <w:rFonts w:ascii="Times New Roman" w:hAnsi="Times New Roman" w:cs="Times New Roman"/>
          <w:sz w:val="24"/>
          <w:szCs w:val="24"/>
          <w:lang w:bidi="hi-IN"/>
        </w:rPr>
        <w:t xml:space="preserve"> regulate have to be increased manifold along with the political commitment to </w:t>
      </w:r>
      <w:r w:rsidR="00F97C87">
        <w:rPr>
          <w:rFonts w:ascii="Times New Roman" w:hAnsi="Times New Roman" w:cs="Times New Roman"/>
          <w:sz w:val="24"/>
          <w:szCs w:val="24"/>
          <w:lang w:bidi="hi-IN"/>
        </w:rPr>
        <w:t>pull it through</w:t>
      </w:r>
      <w:r w:rsidR="00433B5C">
        <w:rPr>
          <w:rFonts w:ascii="Times New Roman" w:hAnsi="Times New Roman" w:cs="Times New Roman"/>
          <w:sz w:val="24"/>
          <w:szCs w:val="24"/>
          <w:lang w:bidi="hi-IN"/>
        </w:rPr>
        <w:t xml:space="preserve"> recognizing that the forces that run counter to regulation are much more powerful and lots of power asymmetries exist between the regulators and the ‘to be regulated’.</w:t>
      </w:r>
    </w:p>
    <w:p w:rsidR="006E5557" w:rsidRPr="008D499A" w:rsidRDefault="006E5557"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8D499A" w:rsidRDefault="008D499A"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8D499A" w:rsidRDefault="008D499A"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bidi="hi-IN"/>
        </w:rPr>
      </w:pPr>
    </w:p>
    <w:p w:rsidR="004E67AB" w:rsidRPr="004E67AB" w:rsidRDefault="004E67AB" w:rsidP="00BD5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IN" w:bidi="hi-IN"/>
        </w:rPr>
      </w:pPr>
    </w:p>
    <w:sectPr w:rsidR="004E67AB" w:rsidRPr="004E67AB" w:rsidSect="00D6586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68C" w:rsidRDefault="005D068C" w:rsidP="006B626F">
      <w:pPr>
        <w:spacing w:after="0" w:line="240" w:lineRule="auto"/>
      </w:pPr>
      <w:r>
        <w:separator/>
      </w:r>
    </w:p>
  </w:endnote>
  <w:endnote w:type="continuationSeparator" w:id="0">
    <w:p w:rsidR="005D068C" w:rsidRDefault="005D068C" w:rsidP="006B626F">
      <w:pPr>
        <w:spacing w:after="0" w:line="240" w:lineRule="auto"/>
      </w:pPr>
      <w:r>
        <w:continuationSeparator/>
      </w:r>
    </w:p>
  </w:endnote>
  <w:endnote w:id="1">
    <w:p w:rsidR="0086789E" w:rsidRPr="0086789E" w:rsidRDefault="0086789E" w:rsidP="0086789E">
      <w:pPr>
        <w:autoSpaceDE w:val="0"/>
        <w:autoSpaceDN w:val="0"/>
        <w:adjustRightInd w:val="0"/>
        <w:spacing w:after="0" w:line="240" w:lineRule="auto"/>
        <w:rPr>
          <w:sz w:val="20"/>
          <w:szCs w:val="20"/>
          <w:lang w:val="en-US"/>
        </w:rPr>
      </w:pPr>
      <w:r>
        <w:rPr>
          <w:rStyle w:val="EndnoteReference"/>
        </w:rPr>
        <w:endnoteRef/>
      </w:r>
      <w:r>
        <w:t xml:space="preserve"> </w:t>
      </w:r>
      <w:r w:rsidRPr="00201911">
        <w:rPr>
          <w:sz w:val="20"/>
          <w:szCs w:val="20"/>
          <w:lang w:val="en-US"/>
        </w:rPr>
        <w:t>Arrow, K (1980)</w:t>
      </w:r>
      <w:r>
        <w:rPr>
          <w:lang w:val="en-US"/>
        </w:rPr>
        <w:t xml:space="preserve">. </w:t>
      </w:r>
      <w:r w:rsidR="00AD46B1">
        <w:rPr>
          <w:lang w:val="en-US"/>
        </w:rPr>
        <w:t>‘</w:t>
      </w:r>
      <w:r w:rsidRPr="0086789E">
        <w:rPr>
          <w:rFonts w:cs="AdvP8E13"/>
          <w:i/>
          <w:iCs/>
          <w:sz w:val="20"/>
          <w:szCs w:val="20"/>
          <w:lang w:bidi="hi-IN"/>
        </w:rPr>
        <w:t>Arrow’s theorem: the paradox of social choice</w:t>
      </w:r>
      <w:r w:rsidR="00AD46B1">
        <w:rPr>
          <w:rFonts w:cs="AdvP8E13"/>
          <w:i/>
          <w:iCs/>
          <w:sz w:val="20"/>
          <w:szCs w:val="20"/>
          <w:lang w:bidi="hi-IN"/>
        </w:rPr>
        <w:t>’</w:t>
      </w:r>
      <w:r w:rsidRPr="0086789E">
        <w:rPr>
          <w:rFonts w:cs="AdvP8E13"/>
          <w:sz w:val="20"/>
          <w:szCs w:val="20"/>
          <w:lang w:bidi="hi-IN"/>
        </w:rPr>
        <w:t>.</w:t>
      </w:r>
      <w:r>
        <w:rPr>
          <w:rFonts w:cs="AdvP8E13"/>
          <w:sz w:val="20"/>
          <w:szCs w:val="20"/>
          <w:lang w:bidi="hi-IN"/>
        </w:rPr>
        <w:t xml:space="preserve"> </w:t>
      </w:r>
      <w:r w:rsidRPr="0086789E">
        <w:rPr>
          <w:rFonts w:cs="AdvP8E13"/>
          <w:sz w:val="20"/>
          <w:szCs w:val="20"/>
          <w:lang w:bidi="hi-IN"/>
        </w:rPr>
        <w:t>New Haven, CT, Yale University Press, 1980</w:t>
      </w:r>
    </w:p>
  </w:endnote>
  <w:endnote w:id="2">
    <w:p w:rsidR="00201911" w:rsidRPr="00201911" w:rsidRDefault="006B626F" w:rsidP="00201911">
      <w:pPr>
        <w:autoSpaceDE w:val="0"/>
        <w:autoSpaceDN w:val="0"/>
        <w:adjustRightInd w:val="0"/>
        <w:spacing w:after="0" w:line="240" w:lineRule="auto"/>
        <w:rPr>
          <w:rFonts w:cs="GillSans-Bold"/>
          <w:sz w:val="20"/>
          <w:szCs w:val="20"/>
          <w:lang w:bidi="hi-IN"/>
        </w:rPr>
      </w:pPr>
      <w:r>
        <w:rPr>
          <w:rStyle w:val="EndnoteReference"/>
        </w:rPr>
        <w:endnoteRef/>
      </w:r>
      <w:r>
        <w:t xml:space="preserve"> </w:t>
      </w:r>
      <w:proofErr w:type="gramStart"/>
      <w:r w:rsidR="00201911" w:rsidRPr="00134B0C">
        <w:rPr>
          <w:sz w:val="20"/>
          <w:szCs w:val="20"/>
          <w:lang w:val="en-US"/>
        </w:rPr>
        <w:t xml:space="preserve">Krupp, K &amp; </w:t>
      </w:r>
      <w:proofErr w:type="spellStart"/>
      <w:r w:rsidR="00201911" w:rsidRPr="00134B0C">
        <w:rPr>
          <w:sz w:val="20"/>
          <w:szCs w:val="20"/>
          <w:lang w:val="en-US"/>
        </w:rPr>
        <w:t>Madhivanan</w:t>
      </w:r>
      <w:proofErr w:type="spellEnd"/>
      <w:r w:rsidR="00201911" w:rsidRPr="00134B0C">
        <w:rPr>
          <w:sz w:val="20"/>
          <w:szCs w:val="20"/>
          <w:lang w:val="en-US"/>
        </w:rPr>
        <w:t xml:space="preserve"> P (</w:t>
      </w:r>
      <w:r w:rsidRPr="00134B0C">
        <w:rPr>
          <w:sz w:val="20"/>
          <w:szCs w:val="20"/>
          <w:lang w:val="en-US"/>
        </w:rPr>
        <w:t>2009</w:t>
      </w:r>
      <w:r w:rsidR="00201911" w:rsidRPr="00134B0C">
        <w:rPr>
          <w:sz w:val="20"/>
          <w:szCs w:val="20"/>
          <w:lang w:val="en-US"/>
        </w:rPr>
        <w:t>).</w:t>
      </w:r>
      <w:proofErr w:type="gramEnd"/>
      <w:r w:rsidR="00201911" w:rsidRPr="00201911">
        <w:rPr>
          <w:rFonts w:ascii="GillSans-Bold" w:hAnsi="GillSans-Bold" w:cs="GillSans-Bold"/>
          <w:b/>
          <w:bCs/>
          <w:sz w:val="32"/>
          <w:szCs w:val="32"/>
          <w:lang w:bidi="hi-IN"/>
        </w:rPr>
        <w:t xml:space="preserve"> </w:t>
      </w:r>
      <w:r w:rsidR="00201911" w:rsidRPr="00201911">
        <w:rPr>
          <w:rFonts w:cs="GillSans-Bold"/>
          <w:sz w:val="20"/>
          <w:szCs w:val="20"/>
          <w:lang w:bidi="hi-IN"/>
        </w:rPr>
        <w:t>‘</w:t>
      </w:r>
      <w:r w:rsidR="00201911">
        <w:rPr>
          <w:rFonts w:cs="GillSans-Bold"/>
          <w:sz w:val="20"/>
          <w:szCs w:val="20"/>
          <w:lang w:bidi="hi-IN"/>
        </w:rPr>
        <w:t>Le</w:t>
      </w:r>
      <w:r w:rsidR="00201911" w:rsidRPr="00201911">
        <w:rPr>
          <w:rFonts w:cs="GillSans-Bold"/>
          <w:sz w:val="20"/>
          <w:szCs w:val="20"/>
          <w:lang w:bidi="hi-IN"/>
        </w:rPr>
        <w:t>veraging human capital to reduce maternal mortality in India:</w:t>
      </w:r>
    </w:p>
    <w:p w:rsidR="006B626F" w:rsidRPr="006B626F" w:rsidRDefault="00201911" w:rsidP="00201911">
      <w:pPr>
        <w:pStyle w:val="EndnoteText"/>
        <w:rPr>
          <w:lang w:val="en-US"/>
        </w:rPr>
      </w:pPr>
      <w:proofErr w:type="gramStart"/>
      <w:r w:rsidRPr="00201911">
        <w:rPr>
          <w:rFonts w:cs="GillSans-Bold"/>
          <w:lang w:bidi="hi-IN"/>
        </w:rPr>
        <w:t>enhanced</w:t>
      </w:r>
      <w:proofErr w:type="gramEnd"/>
      <w:r w:rsidRPr="00201911">
        <w:rPr>
          <w:rFonts w:cs="GillSans-Bold"/>
          <w:lang w:bidi="hi-IN"/>
        </w:rPr>
        <w:t xml:space="preserve"> public health system or public-private partnership?</w:t>
      </w:r>
      <w:r>
        <w:rPr>
          <w:rFonts w:cs="GillSans-Bold"/>
          <w:lang w:bidi="hi-IN"/>
        </w:rPr>
        <w:t>’</w:t>
      </w:r>
      <w:r w:rsidRPr="00201911">
        <w:rPr>
          <w:lang w:val="en-US"/>
        </w:rPr>
        <w:t xml:space="preserve"> </w:t>
      </w:r>
      <w:r>
        <w:rPr>
          <w:rFonts w:ascii="GillSans-Italic" w:hAnsi="GillSans-Italic" w:cs="GillSans-Italic"/>
          <w:i/>
          <w:iCs/>
          <w:sz w:val="16"/>
          <w:szCs w:val="16"/>
          <w:lang w:bidi="hi-IN"/>
        </w:rPr>
        <w:t xml:space="preserve">Human Resources for Health </w:t>
      </w:r>
      <w:r>
        <w:rPr>
          <w:rFonts w:ascii="GillSans" w:hAnsi="GillSans" w:cs="GillSans"/>
          <w:sz w:val="16"/>
          <w:szCs w:val="16"/>
          <w:lang w:bidi="hi-IN"/>
        </w:rPr>
        <w:t xml:space="preserve">2009, </w:t>
      </w:r>
      <w:r>
        <w:rPr>
          <w:rFonts w:ascii="GillSans-Bold" w:hAnsi="GillSans-Bold" w:cs="GillSans-Bold"/>
          <w:b/>
          <w:bCs/>
          <w:sz w:val="16"/>
          <w:szCs w:val="16"/>
          <w:lang w:bidi="hi-IN"/>
        </w:rPr>
        <w:t>7</w:t>
      </w:r>
      <w:r>
        <w:rPr>
          <w:rFonts w:ascii="GillSans" w:hAnsi="GillSans" w:cs="GillSans"/>
          <w:sz w:val="16"/>
          <w:szCs w:val="16"/>
          <w:lang w:bidi="hi-IN"/>
        </w:rPr>
        <w:t>:18</w:t>
      </w:r>
    </w:p>
  </w:endnote>
  <w:endnote w:id="3">
    <w:p w:rsidR="00403B2A" w:rsidRPr="00403B2A" w:rsidRDefault="00403B2A">
      <w:pPr>
        <w:pStyle w:val="EndnoteText"/>
        <w:rPr>
          <w:lang w:val="en-US"/>
        </w:rPr>
      </w:pPr>
      <w:r>
        <w:rPr>
          <w:rStyle w:val="EndnoteReference"/>
        </w:rPr>
        <w:endnoteRef/>
      </w:r>
      <w:r>
        <w:t xml:space="preserve"> </w:t>
      </w:r>
      <w:proofErr w:type="spellStart"/>
      <w:proofErr w:type="gramStart"/>
      <w:r w:rsidR="00AD124B" w:rsidRPr="00AD124B">
        <w:t>Preker</w:t>
      </w:r>
      <w:proofErr w:type="spellEnd"/>
      <w:r w:rsidR="00AD124B" w:rsidRPr="00AD124B">
        <w:t>, AS Harding</w:t>
      </w:r>
      <w:r w:rsidR="00134B0C">
        <w:t>,</w:t>
      </w:r>
      <w:r w:rsidR="00AD124B" w:rsidRPr="00AD124B">
        <w:t xml:space="preserve"> A and Travis</w:t>
      </w:r>
      <w:r w:rsidR="00134B0C">
        <w:t>,</w:t>
      </w:r>
      <w:r w:rsidR="00AD124B" w:rsidRPr="00AD124B">
        <w:t xml:space="preserve"> P (2000).</w:t>
      </w:r>
      <w:proofErr w:type="gramEnd"/>
      <w:r w:rsidR="00AD124B" w:rsidRPr="00AD124B">
        <w:t xml:space="preserve"> '“Make or buy” decisions in the production of health care goods and services: new insights from institutional economics and organizational theory'. </w:t>
      </w:r>
      <w:r w:rsidR="00AD124B" w:rsidRPr="00AD124B">
        <w:rPr>
          <w:i/>
          <w:iCs/>
        </w:rPr>
        <w:t>Bulletin of World Health Organization,</w:t>
      </w:r>
      <w:r w:rsidR="00AD124B" w:rsidRPr="00AD124B">
        <w:t xml:space="preserve"> Vol. 78, no. 6, 2000, pp. 779-790</w:t>
      </w:r>
    </w:p>
  </w:endnote>
  <w:endnote w:id="4">
    <w:p w:rsidR="0044661C" w:rsidRPr="003B3587" w:rsidRDefault="0044661C" w:rsidP="0044661C">
      <w:pPr>
        <w:pStyle w:val="EndnoteText"/>
        <w:rPr>
          <w:lang w:val="en-US"/>
        </w:rPr>
      </w:pPr>
      <w:r>
        <w:rPr>
          <w:rStyle w:val="EndnoteReference"/>
        </w:rPr>
        <w:endnoteRef/>
      </w:r>
      <w:r>
        <w:t xml:space="preserve"> </w:t>
      </w:r>
      <w:proofErr w:type="spellStart"/>
      <w:proofErr w:type="gramStart"/>
      <w:r>
        <w:t>Domberger</w:t>
      </w:r>
      <w:proofErr w:type="spellEnd"/>
      <w:r w:rsidR="00AD124B">
        <w:t>, S</w:t>
      </w:r>
      <w:r w:rsidR="003E7C5D">
        <w:t xml:space="preserve"> &amp; Jensen</w:t>
      </w:r>
      <w:r w:rsidR="00AD124B">
        <w:t>, P (1997).</w:t>
      </w:r>
      <w:proofErr w:type="gramEnd"/>
      <w:r w:rsidR="00AD124B">
        <w:t xml:space="preserve"> </w:t>
      </w:r>
      <w:proofErr w:type="gramStart"/>
      <w:r w:rsidR="00AD124B">
        <w:t>‘Contracting out by the Public Sector: Theory, Evidence, Prospects’</w:t>
      </w:r>
      <w:r w:rsidR="003B3587">
        <w:t>.</w:t>
      </w:r>
      <w:proofErr w:type="gramEnd"/>
      <w:r w:rsidR="003B3587">
        <w:t xml:space="preserve"> </w:t>
      </w:r>
      <w:r w:rsidR="003B3587" w:rsidRPr="003B3587">
        <w:rPr>
          <w:i/>
          <w:iCs/>
        </w:rPr>
        <w:t>Oxford Review of Economic Policy</w:t>
      </w:r>
      <w:r w:rsidR="003B3587">
        <w:rPr>
          <w:i/>
          <w:iCs/>
        </w:rPr>
        <w:t xml:space="preserve">, </w:t>
      </w:r>
      <w:r w:rsidR="003B3587">
        <w:t>Vol. 13, No. 4, pp 67-78</w:t>
      </w:r>
    </w:p>
  </w:endnote>
  <w:endnote w:id="5">
    <w:p w:rsidR="00CA5753" w:rsidRPr="00A76C8B" w:rsidRDefault="00CA5753" w:rsidP="00CA5753">
      <w:pPr>
        <w:pStyle w:val="EndnoteText"/>
        <w:rPr>
          <w:lang w:val="en-US"/>
        </w:rPr>
      </w:pPr>
      <w:r>
        <w:rPr>
          <w:rStyle w:val="EndnoteReference"/>
        </w:rPr>
        <w:endnoteRef/>
      </w:r>
      <w:r>
        <w:t xml:space="preserve"> </w:t>
      </w:r>
      <w:proofErr w:type="spellStart"/>
      <w:r w:rsidR="00756CB6">
        <w:rPr>
          <w:lang w:val="en-US"/>
        </w:rPr>
        <w:t>Venkatraman</w:t>
      </w:r>
      <w:proofErr w:type="spellEnd"/>
      <w:r w:rsidR="00756CB6">
        <w:rPr>
          <w:lang w:val="en-US"/>
        </w:rPr>
        <w:t xml:space="preserve">, A &amp; </w:t>
      </w:r>
      <w:proofErr w:type="spellStart"/>
      <w:r w:rsidR="00756CB6">
        <w:rPr>
          <w:lang w:val="en-US"/>
        </w:rPr>
        <w:t>Bjorkman</w:t>
      </w:r>
      <w:proofErr w:type="spellEnd"/>
      <w:r w:rsidR="00756CB6">
        <w:rPr>
          <w:lang w:val="en-US"/>
        </w:rPr>
        <w:t xml:space="preserve"> JW (2009). </w:t>
      </w:r>
      <w:r w:rsidR="00756CB6" w:rsidRPr="00976769">
        <w:rPr>
          <w:i/>
          <w:iCs/>
          <w:lang w:val="en-US"/>
        </w:rPr>
        <w:t xml:space="preserve">‘Public Private </w:t>
      </w:r>
      <w:proofErr w:type="gramStart"/>
      <w:r w:rsidR="00756CB6" w:rsidRPr="00976769">
        <w:rPr>
          <w:i/>
          <w:iCs/>
          <w:lang w:val="en-US"/>
        </w:rPr>
        <w:t>partnerships</w:t>
      </w:r>
      <w:proofErr w:type="gramEnd"/>
      <w:r w:rsidR="00756CB6" w:rsidRPr="00976769">
        <w:rPr>
          <w:i/>
          <w:iCs/>
          <w:lang w:val="en-US"/>
        </w:rPr>
        <w:t xml:space="preserve"> in Health Care Services in India’</w:t>
      </w:r>
      <w:r w:rsidR="00756CB6">
        <w:rPr>
          <w:i/>
          <w:iCs/>
          <w:lang w:val="en-US"/>
        </w:rPr>
        <w:t>.</w:t>
      </w:r>
    </w:p>
  </w:endnote>
  <w:endnote w:id="6">
    <w:p w:rsidR="00A76C8B" w:rsidRPr="00A76C8B" w:rsidRDefault="00A76C8B">
      <w:pPr>
        <w:pStyle w:val="EndnoteText"/>
        <w:rPr>
          <w:lang w:val="en-US"/>
        </w:rPr>
      </w:pPr>
      <w:r>
        <w:rPr>
          <w:rStyle w:val="EndnoteReference"/>
        </w:rPr>
        <w:endnoteRef/>
      </w:r>
      <w:r>
        <w:t xml:space="preserve"> </w:t>
      </w:r>
      <w:proofErr w:type="spellStart"/>
      <w:r w:rsidR="003E7C5D" w:rsidRPr="003E7C5D">
        <w:t>V</w:t>
      </w:r>
      <w:r w:rsidR="003E7C5D" w:rsidRPr="003E7C5D">
        <w:rPr>
          <w:rFonts w:eastAsia="Arial Unicode MS" w:cs="Tahoma"/>
        </w:rPr>
        <w:t>ä</w:t>
      </w:r>
      <w:r w:rsidR="003E7C5D" w:rsidRPr="003E7C5D">
        <w:t>lil</w:t>
      </w:r>
      <w:r w:rsidR="003E7C5D" w:rsidRPr="003E7C5D">
        <w:rPr>
          <w:rFonts w:eastAsia="Arial Unicode MS" w:cs="Tahoma"/>
        </w:rPr>
        <w:t>ä</w:t>
      </w:r>
      <w:proofErr w:type="spellEnd"/>
      <w:r w:rsidR="003E7C5D" w:rsidRPr="003E7C5D">
        <w:rPr>
          <w:rFonts w:eastAsia="Arial Unicode MS" w:cs="Tahoma"/>
        </w:rPr>
        <w:t xml:space="preserve">, T (2005). </w:t>
      </w:r>
      <w:proofErr w:type="gramStart"/>
      <w:r w:rsidR="003E7C5D" w:rsidRPr="003E7C5D">
        <w:rPr>
          <w:rFonts w:eastAsia="Arial Unicode MS" w:cs="Tahoma"/>
        </w:rPr>
        <w:t>' How</w:t>
      </w:r>
      <w:proofErr w:type="gramEnd"/>
      <w:r w:rsidR="003E7C5D" w:rsidRPr="003E7C5D">
        <w:rPr>
          <w:rFonts w:eastAsia="Arial Unicode MS" w:cs="Tahoma"/>
        </w:rPr>
        <w:t xml:space="preserve"> expensive are cost savings? On the economics of public-private partnerships', </w:t>
      </w:r>
      <w:r w:rsidR="003E7C5D" w:rsidRPr="003E7C5D">
        <w:rPr>
          <w:rFonts w:eastAsia="Arial Unicode MS" w:cs="Tahoma"/>
          <w:i/>
          <w:iCs/>
        </w:rPr>
        <w:t>EIB papers</w:t>
      </w:r>
      <w:r w:rsidR="003E7C5D" w:rsidRPr="003E7C5D">
        <w:rPr>
          <w:rFonts w:eastAsia="Arial Unicode MS" w:cs="Tahoma"/>
        </w:rPr>
        <w:t>, Vol. 10, No. 1, European Investment Bank, Luxemburg, 2005, pp. 94-119</w:t>
      </w:r>
    </w:p>
  </w:endnote>
  <w:endnote w:id="7">
    <w:p w:rsidR="008151A8" w:rsidRPr="003E7C5D" w:rsidRDefault="008151A8" w:rsidP="003F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lang w:val="en-US"/>
        </w:rPr>
      </w:pPr>
      <w:r w:rsidRPr="003E7C5D">
        <w:rPr>
          <w:rStyle w:val="EndnoteReference"/>
          <w:sz w:val="20"/>
          <w:szCs w:val="20"/>
        </w:rPr>
        <w:endnoteRef/>
      </w:r>
      <w:r w:rsidRPr="003E7C5D">
        <w:rPr>
          <w:sz w:val="20"/>
          <w:szCs w:val="20"/>
        </w:rPr>
        <w:t xml:space="preserve"> </w:t>
      </w:r>
      <w:proofErr w:type="gramStart"/>
      <w:r w:rsidR="003E7C5D" w:rsidRPr="003E7C5D">
        <w:rPr>
          <w:rFonts w:eastAsia="Arial Unicode MS" w:cs="Tahoma"/>
          <w:color w:val="000000"/>
          <w:sz w:val="20"/>
          <w:szCs w:val="20"/>
        </w:rPr>
        <w:t>Lonsdale, C and Watson, G (2007).</w:t>
      </w:r>
      <w:proofErr w:type="gramEnd"/>
      <w:r w:rsidR="003E7C5D" w:rsidRPr="003E7C5D">
        <w:rPr>
          <w:rFonts w:eastAsia="Arial Unicode MS" w:cs="Tahoma"/>
          <w:color w:val="000000"/>
          <w:sz w:val="20"/>
          <w:szCs w:val="20"/>
        </w:rPr>
        <w:t xml:space="preserve"> </w:t>
      </w:r>
      <w:proofErr w:type="gramStart"/>
      <w:r w:rsidR="003E7C5D" w:rsidRPr="003E7C5D">
        <w:rPr>
          <w:rFonts w:eastAsia="Arial Unicode MS" w:cs="Tahoma"/>
          <w:color w:val="000000"/>
          <w:sz w:val="20"/>
          <w:szCs w:val="20"/>
        </w:rPr>
        <w:t>'Managing contracts under the U.K.'s Private Finance Initiative; evidence from the National Health Service'.</w:t>
      </w:r>
      <w:proofErr w:type="gramEnd"/>
      <w:r w:rsidR="003E7C5D" w:rsidRPr="003E7C5D">
        <w:rPr>
          <w:rFonts w:eastAsia="Arial Unicode MS" w:cs="Tahoma"/>
          <w:color w:val="000000"/>
          <w:sz w:val="20"/>
          <w:szCs w:val="20"/>
        </w:rPr>
        <w:t xml:space="preserve"> </w:t>
      </w:r>
      <w:r w:rsidR="003E7C5D" w:rsidRPr="003E7C5D">
        <w:rPr>
          <w:rFonts w:eastAsia="Arial Unicode MS" w:cs="Tahoma"/>
          <w:i/>
          <w:iCs/>
          <w:color w:val="000000"/>
          <w:sz w:val="20"/>
          <w:szCs w:val="20"/>
        </w:rPr>
        <w:t>Policy and Politics</w:t>
      </w:r>
      <w:r w:rsidR="003E7C5D" w:rsidRPr="003E7C5D">
        <w:rPr>
          <w:rFonts w:eastAsia="Arial Unicode MS" w:cs="Tahoma"/>
          <w:color w:val="000000"/>
          <w:sz w:val="20"/>
          <w:szCs w:val="20"/>
        </w:rPr>
        <w:t>, Vol. 35, No. 4, 2007, pp. 683-700</w:t>
      </w:r>
    </w:p>
  </w:endnote>
  <w:endnote w:id="8">
    <w:p w:rsidR="00AA4804" w:rsidRPr="00063AE3" w:rsidRDefault="00AA4804" w:rsidP="00AA4804">
      <w:pPr>
        <w:pStyle w:val="EndnoteText"/>
        <w:rPr>
          <w:lang w:val="en-US"/>
        </w:rPr>
      </w:pPr>
      <w:r>
        <w:rPr>
          <w:rStyle w:val="EndnoteReference"/>
        </w:rPr>
        <w:endnoteRef/>
      </w:r>
      <w:r>
        <w:t xml:space="preserve"> </w:t>
      </w:r>
      <w:proofErr w:type="spellStart"/>
      <w:proofErr w:type="gramStart"/>
      <w:r w:rsidR="006B3CEC">
        <w:rPr>
          <w:lang w:val="en-US"/>
        </w:rPr>
        <w:t>Muraleedharan</w:t>
      </w:r>
      <w:proofErr w:type="spellEnd"/>
      <w:r w:rsidR="006B3CEC">
        <w:rPr>
          <w:lang w:val="en-US"/>
        </w:rPr>
        <w:t xml:space="preserve">, V &amp; </w:t>
      </w:r>
      <w:proofErr w:type="spellStart"/>
      <w:r w:rsidR="006B3CEC">
        <w:rPr>
          <w:lang w:val="en-US"/>
        </w:rPr>
        <w:t>Nandraj</w:t>
      </w:r>
      <w:proofErr w:type="spellEnd"/>
      <w:r w:rsidR="006B3CEC">
        <w:rPr>
          <w:lang w:val="en-US"/>
        </w:rPr>
        <w:t xml:space="preserve"> S</w:t>
      </w:r>
      <w:r w:rsidR="003E7C5D">
        <w:rPr>
          <w:lang w:val="en-US"/>
        </w:rPr>
        <w:t xml:space="preserve"> (2003).</w:t>
      </w:r>
      <w:proofErr w:type="gramEnd"/>
      <w:r w:rsidR="006B3CEC">
        <w:rPr>
          <w:lang w:val="en-US"/>
        </w:rPr>
        <w:t xml:space="preserve"> ‘Private Health Care Sector in India – Policy challenges and options for partnership’ </w:t>
      </w:r>
      <w:r>
        <w:rPr>
          <w:lang w:val="en-US"/>
        </w:rPr>
        <w:t xml:space="preserve">in </w:t>
      </w:r>
      <w:r w:rsidR="006B3CEC">
        <w:rPr>
          <w:lang w:val="en-US"/>
        </w:rPr>
        <w:t xml:space="preserve">Eds. </w:t>
      </w:r>
      <w:proofErr w:type="spellStart"/>
      <w:r w:rsidR="006B3CEC">
        <w:rPr>
          <w:lang w:val="en-US"/>
        </w:rPr>
        <w:t>Yaz</w:t>
      </w:r>
      <w:r>
        <w:rPr>
          <w:lang w:val="en-US"/>
        </w:rPr>
        <w:t>beck</w:t>
      </w:r>
      <w:proofErr w:type="spellEnd"/>
      <w:r>
        <w:rPr>
          <w:lang w:val="en-US"/>
        </w:rPr>
        <w:t>,</w:t>
      </w:r>
      <w:r w:rsidR="006B3CEC">
        <w:rPr>
          <w:lang w:val="en-US"/>
        </w:rPr>
        <w:t xml:space="preserve"> A </w:t>
      </w:r>
      <w:proofErr w:type="gramStart"/>
      <w:r w:rsidR="006B3CEC">
        <w:rPr>
          <w:lang w:val="en-US"/>
        </w:rPr>
        <w:t xml:space="preserve">&amp; </w:t>
      </w:r>
      <w:r>
        <w:rPr>
          <w:lang w:val="en-US"/>
        </w:rPr>
        <w:t xml:space="preserve"> Peters</w:t>
      </w:r>
      <w:proofErr w:type="gramEnd"/>
      <w:r w:rsidR="006B3CEC">
        <w:rPr>
          <w:lang w:val="en-US"/>
        </w:rPr>
        <w:t xml:space="preserve"> DH </w:t>
      </w:r>
      <w:r w:rsidR="006B3CEC" w:rsidRPr="006B3CEC">
        <w:rPr>
          <w:i/>
          <w:iCs/>
          <w:lang w:val="en-US"/>
        </w:rPr>
        <w:t>“Health Policy Research in South Asia: Building capacity for reform”</w:t>
      </w:r>
      <w:r w:rsidR="006B3CEC">
        <w:rPr>
          <w:lang w:val="en-US"/>
        </w:rPr>
        <w:t xml:space="preserve">, </w:t>
      </w:r>
      <w:r w:rsidR="009A09AA">
        <w:rPr>
          <w:lang w:val="en-US"/>
        </w:rPr>
        <w:t xml:space="preserve">Ch 9, </w:t>
      </w:r>
      <w:r w:rsidR="006B3CEC">
        <w:rPr>
          <w:lang w:val="en-US"/>
        </w:rPr>
        <w:t>Volume 434. World Bank</w:t>
      </w:r>
      <w:r w:rsidR="009A09AA">
        <w:rPr>
          <w:lang w:val="en-US"/>
        </w:rPr>
        <w:t>: Washington DC, pp 229-257</w:t>
      </w:r>
    </w:p>
  </w:endnote>
  <w:endnote w:id="9">
    <w:p w:rsidR="008B0217" w:rsidRPr="003520F4" w:rsidRDefault="008B0217">
      <w:pPr>
        <w:pStyle w:val="EndnoteText"/>
        <w:rPr>
          <w:lang w:val="en-US"/>
        </w:rPr>
      </w:pPr>
      <w:r>
        <w:rPr>
          <w:rStyle w:val="EndnoteReference"/>
        </w:rPr>
        <w:endnoteRef/>
      </w:r>
      <w:r>
        <w:t xml:space="preserve"> </w:t>
      </w:r>
      <w:proofErr w:type="gramStart"/>
      <w:r w:rsidR="003520F4">
        <w:t>Government of India, Ministry of Health and family Welfare, National Institute of Health and Family welfare (</w:t>
      </w:r>
      <w:r>
        <w:rPr>
          <w:lang w:val="en-US"/>
        </w:rPr>
        <w:t>NIHFW</w:t>
      </w:r>
      <w:r w:rsidR="003520F4">
        <w:rPr>
          <w:lang w:val="en-US"/>
        </w:rPr>
        <w:t>) (</w:t>
      </w:r>
      <w:r>
        <w:rPr>
          <w:lang w:val="en-US"/>
        </w:rPr>
        <w:t>2006</w:t>
      </w:r>
      <w:r w:rsidR="003520F4">
        <w:rPr>
          <w:lang w:val="en-US"/>
        </w:rPr>
        <w:t>).</w:t>
      </w:r>
      <w:proofErr w:type="gramEnd"/>
      <w:r w:rsidR="003520F4">
        <w:rPr>
          <w:lang w:val="en-US"/>
        </w:rPr>
        <w:t xml:space="preserve"> </w:t>
      </w:r>
      <w:r w:rsidR="003520F4" w:rsidRPr="003520F4">
        <w:rPr>
          <w:i/>
          <w:iCs/>
          <w:lang w:val="en-US"/>
        </w:rPr>
        <w:t xml:space="preserve">‘An appraisal of </w:t>
      </w:r>
      <w:proofErr w:type="spellStart"/>
      <w:r w:rsidR="003520F4" w:rsidRPr="003520F4">
        <w:rPr>
          <w:i/>
          <w:iCs/>
          <w:lang w:val="en-US"/>
        </w:rPr>
        <w:t>Janani</w:t>
      </w:r>
      <w:proofErr w:type="spellEnd"/>
      <w:r w:rsidR="003520F4" w:rsidRPr="003520F4">
        <w:rPr>
          <w:i/>
          <w:iCs/>
          <w:lang w:val="en-US"/>
        </w:rPr>
        <w:t xml:space="preserve"> </w:t>
      </w:r>
      <w:proofErr w:type="spellStart"/>
      <w:r w:rsidR="003520F4" w:rsidRPr="003520F4">
        <w:rPr>
          <w:i/>
          <w:iCs/>
          <w:lang w:val="en-US"/>
        </w:rPr>
        <w:t>Sahyogi</w:t>
      </w:r>
      <w:proofErr w:type="spellEnd"/>
      <w:r w:rsidR="003520F4" w:rsidRPr="003520F4">
        <w:rPr>
          <w:i/>
          <w:iCs/>
          <w:lang w:val="en-US"/>
        </w:rPr>
        <w:t xml:space="preserve"> </w:t>
      </w:r>
      <w:proofErr w:type="spellStart"/>
      <w:r w:rsidR="003520F4" w:rsidRPr="003520F4">
        <w:rPr>
          <w:i/>
          <w:iCs/>
          <w:lang w:val="en-US"/>
        </w:rPr>
        <w:t>Yojana</w:t>
      </w:r>
      <w:proofErr w:type="spellEnd"/>
      <w:r w:rsidR="003520F4" w:rsidRPr="003520F4">
        <w:rPr>
          <w:i/>
          <w:iCs/>
          <w:lang w:val="en-US"/>
        </w:rPr>
        <w:t xml:space="preserve"> in Madhya Pradesh’</w:t>
      </w:r>
      <w:r w:rsidR="003520F4">
        <w:rPr>
          <w:lang w:val="en-US"/>
        </w:rPr>
        <w:t>, NIHFW: New Delhi, pp 1-46</w:t>
      </w:r>
    </w:p>
  </w:endnote>
  <w:endnote w:id="10">
    <w:p w:rsidR="00AA4804" w:rsidRPr="00AA4804" w:rsidRDefault="00AA4804">
      <w:pPr>
        <w:pStyle w:val="EndnoteText"/>
        <w:rPr>
          <w:lang w:val="en-US"/>
        </w:rPr>
      </w:pPr>
      <w:r>
        <w:rPr>
          <w:rStyle w:val="EndnoteReference"/>
        </w:rPr>
        <w:endnoteRef/>
      </w:r>
      <w:r>
        <w:t xml:space="preserve"> </w:t>
      </w:r>
      <w:proofErr w:type="gramStart"/>
      <w:r>
        <w:rPr>
          <w:lang w:val="en-US"/>
        </w:rPr>
        <w:t>Sheikh</w:t>
      </w:r>
      <w:r w:rsidR="00756CB6">
        <w:rPr>
          <w:lang w:val="en-US"/>
        </w:rPr>
        <w:t xml:space="preserve">, K </w:t>
      </w:r>
      <w:proofErr w:type="spellStart"/>
      <w:r w:rsidR="00756CB6">
        <w:rPr>
          <w:lang w:val="en-US"/>
        </w:rPr>
        <w:t>Saligram</w:t>
      </w:r>
      <w:proofErr w:type="spellEnd"/>
      <w:r w:rsidR="00756CB6">
        <w:rPr>
          <w:lang w:val="en-US"/>
        </w:rPr>
        <w:t xml:space="preserve"> P &amp; Prasad L (forthcoming).</w:t>
      </w:r>
      <w:proofErr w:type="gramEnd"/>
      <w:r w:rsidR="00756CB6">
        <w:rPr>
          <w:lang w:val="en-US"/>
        </w:rPr>
        <w:t xml:space="preserve"> ‘</w:t>
      </w:r>
      <w:r w:rsidR="00756CB6">
        <w:rPr>
          <w:rStyle w:val="apple-style-span"/>
          <w:rFonts w:ascii="Calibri" w:hAnsi="Calibri"/>
          <w:i/>
          <w:iCs/>
        </w:rPr>
        <w:t xml:space="preserve">Characterizing the Regulatory Architecture for Health Care Provision in Mixed Health Systems: A Research Tool and Case Studies of Madhya Pradesh and Delhi States’. </w:t>
      </w:r>
      <w:r w:rsidR="00756CB6">
        <w:rPr>
          <w:rStyle w:val="apple-style-span"/>
          <w:rFonts w:ascii="Calibri" w:hAnsi="Calibri"/>
        </w:rPr>
        <w:t>New Delhi. Forthcoming</w:t>
      </w:r>
    </w:p>
  </w:endnote>
  <w:endnote w:id="11">
    <w:p w:rsidR="00EB1DF3" w:rsidRPr="00EB1DF3" w:rsidRDefault="00EB1DF3">
      <w:pPr>
        <w:pStyle w:val="EndnoteText"/>
        <w:rPr>
          <w:lang w:val="en-US"/>
        </w:rPr>
      </w:pPr>
      <w:r>
        <w:rPr>
          <w:rStyle w:val="EndnoteReference"/>
        </w:rPr>
        <w:endnoteRef/>
      </w:r>
      <w:r>
        <w:t xml:space="preserve"> </w:t>
      </w:r>
      <w:proofErr w:type="spellStart"/>
      <w:r>
        <w:rPr>
          <w:lang w:val="en-US"/>
        </w:rPr>
        <w:t>Venkatraman</w:t>
      </w:r>
      <w:proofErr w:type="spellEnd"/>
      <w:r w:rsidR="00976769">
        <w:rPr>
          <w:lang w:val="en-US"/>
        </w:rPr>
        <w:t xml:space="preserve">, A &amp; </w:t>
      </w:r>
      <w:proofErr w:type="spellStart"/>
      <w:r w:rsidR="00976769">
        <w:rPr>
          <w:lang w:val="en-US"/>
        </w:rPr>
        <w:t>Bjorkman</w:t>
      </w:r>
      <w:proofErr w:type="spellEnd"/>
      <w:r w:rsidR="00976769">
        <w:rPr>
          <w:lang w:val="en-US"/>
        </w:rPr>
        <w:t xml:space="preserve"> JW (2009). </w:t>
      </w:r>
      <w:r w:rsidR="00976769" w:rsidRPr="00976769">
        <w:rPr>
          <w:i/>
          <w:iCs/>
          <w:lang w:val="en-US"/>
        </w:rPr>
        <w:t>‘Public Private partnerships in Health Care Services in India’</w:t>
      </w:r>
    </w:p>
  </w:endnote>
  <w:endnote w:id="12">
    <w:p w:rsidR="00C53AC5" w:rsidRPr="00C53AC5" w:rsidRDefault="00C53AC5" w:rsidP="004906C6">
      <w:pPr>
        <w:pStyle w:val="EndnoteText"/>
        <w:rPr>
          <w:lang w:val="en-US"/>
        </w:rPr>
      </w:pPr>
      <w:r>
        <w:rPr>
          <w:rStyle w:val="EndnoteReference"/>
        </w:rPr>
        <w:endnoteRef/>
      </w:r>
      <w:r>
        <w:t xml:space="preserve"> </w:t>
      </w:r>
      <w:r w:rsidR="004906C6">
        <w:t xml:space="preserve">Government of India, </w:t>
      </w:r>
      <w:proofErr w:type="spellStart"/>
      <w:r w:rsidR="004906C6" w:rsidRPr="004906C6">
        <w:rPr>
          <w:lang w:val="en-US"/>
        </w:rPr>
        <w:t>Hon’ble</w:t>
      </w:r>
      <w:proofErr w:type="spellEnd"/>
      <w:r w:rsidR="004906C6" w:rsidRPr="004906C6">
        <w:rPr>
          <w:lang w:val="en-US"/>
        </w:rPr>
        <w:t xml:space="preserve"> High Court of Delhi in WP ( C)</w:t>
      </w:r>
      <w:r w:rsidR="004906C6">
        <w:rPr>
          <w:lang w:val="en-US"/>
        </w:rPr>
        <w:t xml:space="preserve"> </w:t>
      </w:r>
      <w:r w:rsidR="004906C6" w:rsidRPr="004906C6">
        <w:rPr>
          <w:lang w:val="en-US"/>
        </w:rPr>
        <w:t>no 2866/2002 in the matter of Social Jurist Vs GNCT Delhi</w:t>
      </w:r>
      <w:r w:rsidR="004906C6">
        <w:rPr>
          <w:lang w:val="en-US"/>
        </w:rPr>
        <w:t xml:space="preserve"> dated 22.03.2007 </w:t>
      </w:r>
    </w:p>
  </w:endnote>
  <w:endnote w:id="13">
    <w:p w:rsidR="0028188E" w:rsidRDefault="0028188E" w:rsidP="0028188E">
      <w:pPr>
        <w:pStyle w:val="Style-4"/>
        <w:ind w:left="284" w:hanging="284"/>
        <w:rPr>
          <w:color w:val="000000"/>
        </w:rPr>
      </w:pPr>
      <w:r>
        <w:rPr>
          <w:rStyle w:val="EndnoteReference"/>
        </w:rPr>
        <w:endnoteRef/>
      </w:r>
      <w:r>
        <w:t xml:space="preserve"> </w:t>
      </w:r>
      <w:r>
        <w:rPr>
          <w:color w:val="000000"/>
        </w:rPr>
        <w:t xml:space="preserve">Directorate of health Services, Government </w:t>
      </w:r>
      <w:proofErr w:type="gramStart"/>
      <w:r>
        <w:rPr>
          <w:color w:val="000000"/>
        </w:rPr>
        <w:t xml:space="preserve">of </w:t>
      </w:r>
      <w:r w:rsidR="00021372">
        <w:rPr>
          <w:color w:val="000000"/>
        </w:rPr>
        <w:t xml:space="preserve"> </w:t>
      </w:r>
      <w:r>
        <w:rPr>
          <w:color w:val="000000"/>
        </w:rPr>
        <w:t>NCT</w:t>
      </w:r>
      <w:proofErr w:type="gramEnd"/>
      <w:r>
        <w:rPr>
          <w:color w:val="000000"/>
        </w:rPr>
        <w:t xml:space="preserve"> Delhi (2007). '</w:t>
      </w:r>
      <w:r>
        <w:rPr>
          <w:i/>
          <w:iCs/>
          <w:color w:val="000000"/>
        </w:rPr>
        <w:t>Guidelines for provision of free treatment facilities to patients of EWS category in private hospitals in pursuance of directions issued by the Honourable High Court of Delhi in WP ( C) no 2866/2002 in the matter of Social Jurist Vs GNCT Delhi</w:t>
      </w:r>
      <w:r>
        <w:rPr>
          <w:color w:val="000000"/>
        </w:rPr>
        <w:t>' '</w:t>
      </w:r>
      <w:hyperlink r:id="rId1" w:history="1">
        <w:r>
          <w:rPr>
            <w:rStyle w:val="Hyperlink"/>
          </w:rPr>
          <w:t>http</w:t>
        </w:r>
      </w:hyperlink>
      <w:hyperlink r:id="rId2" w:history="1">
        <w:r>
          <w:rPr>
            <w:rStyle w:val="Hyperlink"/>
          </w:rPr>
          <w:t>://</w:t>
        </w:r>
      </w:hyperlink>
      <w:hyperlink r:id="rId3" w:history="1">
        <w:r>
          <w:rPr>
            <w:rStyle w:val="Hyperlink"/>
          </w:rPr>
          <w:t>www</w:t>
        </w:r>
      </w:hyperlink>
      <w:hyperlink r:id="rId4" w:history="1">
        <w:r>
          <w:rPr>
            <w:rStyle w:val="Hyperlink"/>
          </w:rPr>
          <w:t>.</w:t>
        </w:r>
      </w:hyperlink>
      <w:hyperlink r:id="rId5" w:history="1">
        <w:proofErr w:type="gramStart"/>
        <w:r>
          <w:rPr>
            <w:rStyle w:val="Hyperlink"/>
          </w:rPr>
          <w:t>delhi</w:t>
        </w:r>
        <w:proofErr w:type="gramEnd"/>
      </w:hyperlink>
      <w:hyperlink r:id="rId6" w:history="1">
        <w:r>
          <w:rPr>
            <w:rStyle w:val="Hyperlink"/>
          </w:rPr>
          <w:t>.</w:t>
        </w:r>
      </w:hyperlink>
      <w:hyperlink r:id="rId7" w:history="1">
        <w:proofErr w:type="gramStart"/>
        <w:r>
          <w:rPr>
            <w:rStyle w:val="Hyperlink"/>
          </w:rPr>
          <w:t>gov</w:t>
        </w:r>
        <w:proofErr w:type="gramEnd"/>
      </w:hyperlink>
      <w:hyperlink r:id="rId8" w:history="1">
        <w:r>
          <w:rPr>
            <w:rStyle w:val="Hyperlink"/>
          </w:rPr>
          <w:t>.</w:t>
        </w:r>
      </w:hyperlink>
      <w:hyperlink r:id="rId9" w:history="1">
        <w:r>
          <w:rPr>
            <w:rStyle w:val="Hyperlink"/>
          </w:rPr>
          <w:t>in</w:t>
        </w:r>
      </w:hyperlink>
      <w:hyperlink r:id="rId10" w:history="1">
        <w:r>
          <w:rPr>
            <w:rStyle w:val="Hyperlink"/>
          </w:rPr>
          <w:t>/</w:t>
        </w:r>
      </w:hyperlink>
      <w:hyperlink r:id="rId11" w:history="1">
        <w:r>
          <w:rPr>
            <w:rStyle w:val="Hyperlink"/>
          </w:rPr>
          <w:t>wps</w:t>
        </w:r>
      </w:hyperlink>
      <w:hyperlink r:id="rId12" w:history="1">
        <w:r>
          <w:rPr>
            <w:rStyle w:val="Hyperlink"/>
          </w:rPr>
          <w:t>/</w:t>
        </w:r>
      </w:hyperlink>
      <w:hyperlink r:id="rId13" w:history="1">
        <w:r>
          <w:rPr>
            <w:rStyle w:val="Hyperlink"/>
          </w:rPr>
          <w:t>wcm</w:t>
        </w:r>
      </w:hyperlink>
      <w:hyperlink r:id="rId14" w:history="1">
        <w:r>
          <w:rPr>
            <w:rStyle w:val="Hyperlink"/>
          </w:rPr>
          <w:t>/</w:t>
        </w:r>
      </w:hyperlink>
      <w:hyperlink r:id="rId15" w:history="1">
        <w:r>
          <w:rPr>
            <w:rStyle w:val="Hyperlink"/>
          </w:rPr>
          <w:t>connect</w:t>
        </w:r>
      </w:hyperlink>
      <w:hyperlink r:id="rId16" w:history="1">
        <w:r>
          <w:rPr>
            <w:rStyle w:val="Hyperlink"/>
          </w:rPr>
          <w:t>/3</w:t>
        </w:r>
      </w:hyperlink>
      <w:hyperlink r:id="rId17" w:history="1">
        <w:r>
          <w:rPr>
            <w:rStyle w:val="Hyperlink"/>
          </w:rPr>
          <w:t>cd</w:t>
        </w:r>
      </w:hyperlink>
      <w:hyperlink r:id="rId18" w:history="1">
        <w:r>
          <w:rPr>
            <w:rStyle w:val="Hyperlink"/>
          </w:rPr>
          <w:t>0</w:t>
        </w:r>
      </w:hyperlink>
      <w:hyperlink r:id="rId19" w:history="1">
        <w:r>
          <w:rPr>
            <w:rStyle w:val="Hyperlink"/>
          </w:rPr>
          <w:t>a</w:t>
        </w:r>
      </w:hyperlink>
      <w:hyperlink r:id="rId20" w:history="1">
        <w:r>
          <w:rPr>
            <w:rStyle w:val="Hyperlink"/>
          </w:rPr>
          <w:t>5004</w:t>
        </w:r>
      </w:hyperlink>
      <w:hyperlink r:id="rId21" w:history="1">
        <w:r>
          <w:rPr>
            <w:rStyle w:val="Hyperlink"/>
          </w:rPr>
          <w:t>d</w:t>
        </w:r>
      </w:hyperlink>
      <w:hyperlink r:id="rId22" w:history="1">
        <w:r>
          <w:rPr>
            <w:rStyle w:val="Hyperlink"/>
          </w:rPr>
          <w:t>9238</w:t>
        </w:r>
      </w:hyperlink>
      <w:hyperlink r:id="rId23" w:history="1">
        <w:r>
          <w:rPr>
            <w:rStyle w:val="Hyperlink"/>
          </w:rPr>
          <w:t>eeaa</w:t>
        </w:r>
      </w:hyperlink>
      <w:hyperlink r:id="rId24" w:history="1">
        <w:r>
          <w:rPr>
            <w:rStyle w:val="Hyperlink"/>
          </w:rPr>
          <w:t>5</w:t>
        </w:r>
      </w:hyperlink>
      <w:hyperlink r:id="rId25" w:history="1">
        <w:r>
          <w:rPr>
            <w:rStyle w:val="Hyperlink"/>
          </w:rPr>
          <w:t>eaf</w:t>
        </w:r>
      </w:hyperlink>
      <w:hyperlink r:id="rId26" w:history="1">
        <w:r>
          <w:rPr>
            <w:rStyle w:val="Hyperlink"/>
          </w:rPr>
          <w:t>09</w:t>
        </w:r>
      </w:hyperlink>
      <w:hyperlink r:id="rId27" w:history="1">
        <w:r>
          <w:rPr>
            <w:rStyle w:val="Hyperlink"/>
          </w:rPr>
          <w:t>e</w:t>
        </w:r>
      </w:hyperlink>
      <w:hyperlink r:id="rId28" w:history="1">
        <w:r>
          <w:rPr>
            <w:rStyle w:val="Hyperlink"/>
          </w:rPr>
          <w:t>0</w:t>
        </w:r>
      </w:hyperlink>
      <w:hyperlink r:id="rId29" w:history="1">
        <w:r>
          <w:rPr>
            <w:rStyle w:val="Hyperlink"/>
          </w:rPr>
          <w:t>ee</w:t>
        </w:r>
      </w:hyperlink>
      <w:hyperlink r:id="rId30" w:history="1">
        <w:r>
          <w:rPr>
            <w:rStyle w:val="Hyperlink"/>
          </w:rPr>
          <w:t>946</w:t>
        </w:r>
      </w:hyperlink>
      <w:hyperlink r:id="rId31" w:history="1">
        <w:r>
          <w:rPr>
            <w:rStyle w:val="Hyperlink"/>
          </w:rPr>
          <w:t>a</w:t>
        </w:r>
      </w:hyperlink>
      <w:hyperlink r:id="rId32" w:history="1">
        <w:r>
          <w:rPr>
            <w:rStyle w:val="Hyperlink"/>
          </w:rPr>
          <w:t>/</w:t>
        </w:r>
      </w:hyperlink>
      <w:hyperlink r:id="rId33" w:history="1">
        <w:r>
          <w:rPr>
            <w:rStyle w:val="Hyperlink"/>
          </w:rPr>
          <w:t>guidelines</w:t>
        </w:r>
      </w:hyperlink>
      <w:hyperlink r:id="rId34" w:history="1">
        <w:r>
          <w:rPr>
            <w:rStyle w:val="Hyperlink"/>
          </w:rPr>
          <w:t>.</w:t>
        </w:r>
      </w:hyperlink>
      <w:hyperlink r:id="rId35" w:history="1">
        <w:proofErr w:type="gramStart"/>
        <w:r>
          <w:rPr>
            <w:rStyle w:val="Hyperlink"/>
          </w:rPr>
          <w:t>pdf</w:t>
        </w:r>
        <w:proofErr w:type="gramEnd"/>
      </w:hyperlink>
      <w:hyperlink r:id="rId36" w:history="1">
        <w:r>
          <w:rPr>
            <w:rStyle w:val="Hyperlink"/>
          </w:rPr>
          <w:t>?</w:t>
        </w:r>
      </w:hyperlink>
      <w:hyperlink r:id="rId37" w:history="1">
        <w:r>
          <w:rPr>
            <w:rStyle w:val="Hyperlink"/>
          </w:rPr>
          <w:t>MOD</w:t>
        </w:r>
      </w:hyperlink>
      <w:hyperlink r:id="rId38" w:history="1">
        <w:r>
          <w:rPr>
            <w:rStyle w:val="Hyperlink"/>
          </w:rPr>
          <w:t>=</w:t>
        </w:r>
      </w:hyperlink>
      <w:hyperlink r:id="rId39" w:history="1">
        <w:r>
          <w:rPr>
            <w:rStyle w:val="Hyperlink"/>
          </w:rPr>
          <w:t>AJPERES</w:t>
        </w:r>
      </w:hyperlink>
      <w:r w:rsidR="00AD085D">
        <w:rPr>
          <w:color w:val="000000"/>
        </w:rPr>
        <w:t xml:space="preserve"> accessed on 10.04.2011</w:t>
      </w:r>
    </w:p>
    <w:p w:rsidR="0028188E" w:rsidRPr="0028188E" w:rsidRDefault="0028188E">
      <w:pPr>
        <w:pStyle w:val="EndnoteText"/>
        <w:rPr>
          <w:lang w:val="en-US"/>
        </w:rPr>
      </w:pPr>
    </w:p>
  </w:endnote>
  <w:endnote w:id="14">
    <w:p w:rsidR="0028188E" w:rsidRPr="0028188E" w:rsidRDefault="0028188E">
      <w:pPr>
        <w:pStyle w:val="EndnoteText"/>
        <w:rPr>
          <w:lang w:val="en-US"/>
        </w:rPr>
      </w:pPr>
      <w:r>
        <w:rPr>
          <w:rStyle w:val="EndnoteReference"/>
        </w:rPr>
        <w:endnoteRef/>
      </w:r>
      <w:r>
        <w:t xml:space="preserve"> </w:t>
      </w:r>
      <w:hyperlink r:id="rId40" w:history="1">
        <w:r w:rsidR="00BE5401">
          <w:rPr>
            <w:rStyle w:val="Hyperlink"/>
          </w:rPr>
          <w:t>http://www.hindu.com/2010/08/24/stories/2010082456771000.htm</w:t>
        </w:r>
      </w:hyperlink>
      <w:r w:rsidR="00BE5401">
        <w:t xml:space="preserve"> accessed on 10.04.2011</w:t>
      </w:r>
    </w:p>
  </w:endnote>
  <w:endnote w:id="15">
    <w:p w:rsidR="00A3756C" w:rsidRPr="004A4F62" w:rsidRDefault="00A3756C" w:rsidP="004A4F62">
      <w:pPr>
        <w:pStyle w:val="Default"/>
        <w:rPr>
          <w:rFonts w:asciiTheme="minorHAnsi" w:hAnsiTheme="minorHAnsi" w:cs="Times New Roman"/>
          <w:sz w:val="20"/>
          <w:szCs w:val="20"/>
        </w:rPr>
      </w:pPr>
      <w:r w:rsidRPr="004A4F62">
        <w:rPr>
          <w:rStyle w:val="EndnoteReference"/>
          <w:rFonts w:asciiTheme="minorHAnsi" w:hAnsiTheme="minorHAnsi"/>
          <w:sz w:val="20"/>
          <w:szCs w:val="20"/>
        </w:rPr>
        <w:endnoteRef/>
      </w:r>
      <w:r w:rsidRPr="004A4F62">
        <w:rPr>
          <w:rFonts w:asciiTheme="minorHAnsi" w:hAnsiTheme="minorHAnsi"/>
          <w:sz w:val="20"/>
          <w:szCs w:val="20"/>
        </w:rPr>
        <w:t xml:space="preserve"> </w:t>
      </w:r>
      <w:proofErr w:type="spellStart"/>
      <w:proofErr w:type="gramStart"/>
      <w:r w:rsidRPr="004A4F62">
        <w:rPr>
          <w:rFonts w:asciiTheme="minorHAnsi" w:hAnsiTheme="minorHAnsi"/>
          <w:sz w:val="20"/>
          <w:szCs w:val="20"/>
          <w:lang w:val="en-US"/>
        </w:rPr>
        <w:t>Bhat</w:t>
      </w:r>
      <w:proofErr w:type="spellEnd"/>
      <w:r w:rsidRPr="004A4F62">
        <w:rPr>
          <w:rFonts w:asciiTheme="minorHAnsi" w:hAnsiTheme="minorHAnsi"/>
          <w:sz w:val="20"/>
          <w:szCs w:val="20"/>
          <w:lang w:val="en-US"/>
        </w:rPr>
        <w:t xml:space="preserve">, </w:t>
      </w:r>
      <w:r w:rsidR="004A4F62" w:rsidRPr="004A4F62">
        <w:rPr>
          <w:rFonts w:asciiTheme="minorHAnsi" w:hAnsiTheme="minorHAnsi"/>
          <w:sz w:val="20"/>
          <w:szCs w:val="20"/>
          <w:lang w:val="en-US"/>
        </w:rPr>
        <w:t xml:space="preserve">R </w:t>
      </w:r>
      <w:proofErr w:type="spellStart"/>
      <w:r w:rsidRPr="004A4F62">
        <w:rPr>
          <w:rFonts w:asciiTheme="minorHAnsi" w:hAnsiTheme="minorHAnsi"/>
          <w:sz w:val="20"/>
          <w:szCs w:val="20"/>
          <w:lang w:val="en-US"/>
        </w:rPr>
        <w:t>Mavalankar</w:t>
      </w:r>
      <w:proofErr w:type="spellEnd"/>
      <w:r w:rsidR="004A4F62" w:rsidRPr="004A4F62">
        <w:rPr>
          <w:rFonts w:asciiTheme="minorHAnsi" w:hAnsiTheme="minorHAnsi"/>
          <w:sz w:val="20"/>
          <w:szCs w:val="20"/>
          <w:lang w:val="en-US"/>
        </w:rPr>
        <w:t>, D Singh, PV</w:t>
      </w:r>
      <w:r w:rsidRPr="004A4F62">
        <w:rPr>
          <w:rFonts w:asciiTheme="minorHAnsi" w:hAnsiTheme="minorHAnsi"/>
          <w:sz w:val="20"/>
          <w:szCs w:val="20"/>
          <w:lang w:val="en-US"/>
        </w:rPr>
        <w:t xml:space="preserve"> </w:t>
      </w:r>
      <w:r w:rsidR="004A4F62" w:rsidRPr="004A4F62">
        <w:rPr>
          <w:rFonts w:asciiTheme="minorHAnsi" w:hAnsiTheme="minorHAnsi"/>
          <w:sz w:val="20"/>
          <w:szCs w:val="20"/>
          <w:lang w:val="en-US"/>
        </w:rPr>
        <w:t>&amp; Singh, N (</w:t>
      </w:r>
      <w:r w:rsidRPr="004A4F62">
        <w:rPr>
          <w:rFonts w:asciiTheme="minorHAnsi" w:hAnsiTheme="minorHAnsi"/>
          <w:sz w:val="20"/>
          <w:szCs w:val="20"/>
          <w:lang w:val="en-US"/>
        </w:rPr>
        <w:t>2009</w:t>
      </w:r>
      <w:r w:rsidR="004A4F62" w:rsidRPr="004A4F62">
        <w:rPr>
          <w:rFonts w:asciiTheme="minorHAnsi" w:hAnsiTheme="minorHAnsi"/>
          <w:sz w:val="20"/>
          <w:szCs w:val="20"/>
          <w:lang w:val="en-US"/>
        </w:rPr>
        <w:t>).</w:t>
      </w:r>
      <w:proofErr w:type="gramEnd"/>
      <w:r w:rsidR="004A4F62" w:rsidRPr="004A4F62">
        <w:rPr>
          <w:rFonts w:asciiTheme="minorHAnsi" w:hAnsiTheme="minorHAnsi"/>
          <w:sz w:val="20"/>
          <w:szCs w:val="20"/>
          <w:lang w:val="en-US"/>
        </w:rPr>
        <w:t xml:space="preserve"> ‘Maternal Healthcare Financing: Gujarat’s </w:t>
      </w:r>
      <w:proofErr w:type="spellStart"/>
      <w:r w:rsidR="004A4F62" w:rsidRPr="004A4F62">
        <w:rPr>
          <w:rFonts w:asciiTheme="minorHAnsi" w:hAnsiTheme="minorHAnsi"/>
          <w:sz w:val="20"/>
          <w:szCs w:val="20"/>
          <w:lang w:val="en-US"/>
        </w:rPr>
        <w:t>Chiranjeevi</w:t>
      </w:r>
      <w:proofErr w:type="spellEnd"/>
      <w:r w:rsidR="004A4F62" w:rsidRPr="004A4F62">
        <w:rPr>
          <w:rFonts w:asciiTheme="minorHAnsi" w:hAnsiTheme="minorHAnsi"/>
          <w:sz w:val="20"/>
          <w:szCs w:val="20"/>
          <w:lang w:val="en-US"/>
        </w:rPr>
        <w:t xml:space="preserve"> Scheme and its Beneficiaries’, Journal of </w:t>
      </w:r>
      <w:r w:rsidR="004A4F62" w:rsidRPr="004A4F62">
        <w:rPr>
          <w:rFonts w:asciiTheme="minorHAnsi" w:hAnsiTheme="minorHAnsi"/>
          <w:i/>
          <w:iCs/>
          <w:sz w:val="20"/>
          <w:szCs w:val="20"/>
          <w:lang w:val="en-US"/>
        </w:rPr>
        <w:t xml:space="preserve">Health Population and Nutrition, </w:t>
      </w:r>
      <w:r w:rsidR="004A4F62" w:rsidRPr="004A4F62">
        <w:rPr>
          <w:rFonts w:asciiTheme="minorHAnsi" w:hAnsiTheme="minorHAnsi" w:cs="Times New Roman"/>
          <w:sz w:val="20"/>
          <w:szCs w:val="20"/>
        </w:rPr>
        <w:t>27(2):249-258</w:t>
      </w:r>
      <w:r w:rsidR="004A4F62" w:rsidRPr="004A4F62">
        <w:rPr>
          <w:rFonts w:asciiTheme="minorHAnsi" w:hAnsiTheme="minorHAnsi"/>
          <w:i/>
          <w:iCs/>
          <w:sz w:val="20"/>
          <w:szCs w:val="20"/>
          <w:lang w:val="en-US"/>
        </w:rPr>
        <w:t xml:space="preserve"> </w:t>
      </w:r>
    </w:p>
  </w:endnote>
  <w:endnote w:id="16">
    <w:p w:rsidR="00A3756C" w:rsidRPr="00A3756C" w:rsidRDefault="00A3756C" w:rsidP="00A3756C">
      <w:pPr>
        <w:pStyle w:val="EndnoteText"/>
        <w:rPr>
          <w:lang w:val="en-US"/>
        </w:rPr>
      </w:pPr>
      <w:r>
        <w:rPr>
          <w:rStyle w:val="EndnoteReference"/>
        </w:rPr>
        <w:endnoteRef/>
      </w:r>
      <w:r>
        <w:t xml:space="preserve"> </w:t>
      </w:r>
      <w:proofErr w:type="spellStart"/>
      <w:proofErr w:type="gramStart"/>
      <w:r>
        <w:rPr>
          <w:lang w:val="en-US"/>
        </w:rPr>
        <w:t>Acharya</w:t>
      </w:r>
      <w:proofErr w:type="spellEnd"/>
      <w:r w:rsidR="00800BC8">
        <w:rPr>
          <w:lang w:val="en-US"/>
        </w:rPr>
        <w:t>,</w:t>
      </w:r>
      <w:r>
        <w:rPr>
          <w:lang w:val="en-US"/>
        </w:rPr>
        <w:t xml:space="preserve"> A &amp; </w:t>
      </w:r>
      <w:proofErr w:type="spellStart"/>
      <w:r>
        <w:rPr>
          <w:lang w:val="en-US"/>
        </w:rPr>
        <w:t>Mcnamee</w:t>
      </w:r>
      <w:proofErr w:type="spellEnd"/>
      <w:r w:rsidR="00800BC8">
        <w:rPr>
          <w:lang w:val="en-US"/>
        </w:rPr>
        <w:t>, P</w:t>
      </w:r>
      <w:r>
        <w:rPr>
          <w:lang w:val="en-US"/>
        </w:rPr>
        <w:t xml:space="preserve"> </w:t>
      </w:r>
      <w:r w:rsidR="00800BC8">
        <w:rPr>
          <w:lang w:val="en-US"/>
        </w:rPr>
        <w:t>(</w:t>
      </w:r>
      <w:r>
        <w:rPr>
          <w:lang w:val="en-US"/>
        </w:rPr>
        <w:t>2009</w:t>
      </w:r>
      <w:r w:rsidR="00800BC8">
        <w:rPr>
          <w:lang w:val="en-US"/>
        </w:rPr>
        <w:t>).</w:t>
      </w:r>
      <w:proofErr w:type="gramEnd"/>
      <w:r w:rsidR="00800BC8">
        <w:rPr>
          <w:lang w:val="en-US"/>
        </w:rPr>
        <w:t xml:space="preserve"> ‘Assessing Gujarat’s ‘</w:t>
      </w:r>
      <w:proofErr w:type="spellStart"/>
      <w:r w:rsidR="00800BC8">
        <w:rPr>
          <w:lang w:val="en-US"/>
        </w:rPr>
        <w:t>Chiranjeevi</w:t>
      </w:r>
      <w:proofErr w:type="spellEnd"/>
      <w:r w:rsidR="00800BC8">
        <w:rPr>
          <w:lang w:val="en-US"/>
        </w:rPr>
        <w:t>’ Scheme’,</w:t>
      </w:r>
      <w:r w:rsidR="00800BC8" w:rsidRPr="00800BC8">
        <w:rPr>
          <w:i/>
          <w:iCs/>
          <w:lang w:val="en-US"/>
        </w:rPr>
        <w:t xml:space="preserve"> Economic and Political Weekly</w:t>
      </w:r>
      <w:r w:rsidR="00800BC8">
        <w:rPr>
          <w:lang w:val="en-US"/>
        </w:rPr>
        <w:t>, V</w:t>
      </w:r>
      <w:proofErr w:type="spellStart"/>
      <w:r w:rsidR="00800BC8">
        <w:rPr>
          <w:rStyle w:val="A2"/>
        </w:rPr>
        <w:t>ol</w:t>
      </w:r>
      <w:proofErr w:type="spellEnd"/>
      <w:r w:rsidR="00800BC8">
        <w:rPr>
          <w:rStyle w:val="A2"/>
        </w:rPr>
        <w:t xml:space="preserve"> xliv, no. 48</w:t>
      </w:r>
      <w:r w:rsidR="00F4724E">
        <w:rPr>
          <w:rStyle w:val="A2"/>
        </w:rPr>
        <w:t xml:space="preserve"> pp 13-15</w:t>
      </w:r>
    </w:p>
  </w:endnote>
  <w:endnote w:id="17">
    <w:p w:rsidR="005A3B5C" w:rsidRPr="005A3B5C" w:rsidRDefault="005A3B5C">
      <w:pPr>
        <w:pStyle w:val="EndnoteText"/>
        <w:rPr>
          <w:lang w:val="en-US"/>
        </w:rPr>
      </w:pPr>
      <w:r>
        <w:rPr>
          <w:rStyle w:val="EndnoteReference"/>
        </w:rPr>
        <w:endnoteRef/>
      </w:r>
      <w:r>
        <w:t xml:space="preserve"> </w:t>
      </w:r>
      <w:proofErr w:type="spellStart"/>
      <w:r w:rsidR="006077BB">
        <w:t>Mili</w:t>
      </w:r>
      <w:proofErr w:type="spellEnd"/>
      <w:r w:rsidR="006077BB">
        <w:t>, D (</w:t>
      </w:r>
      <w:r>
        <w:rPr>
          <w:lang w:val="en-US"/>
        </w:rPr>
        <w:t>2009</w:t>
      </w:r>
      <w:r w:rsidR="006077BB">
        <w:rPr>
          <w:lang w:val="en-US"/>
        </w:rPr>
        <w:t xml:space="preserve">). </w:t>
      </w:r>
      <w:r w:rsidR="006077BB" w:rsidRPr="006077BB">
        <w:rPr>
          <w:i/>
          <w:iCs/>
          <w:lang w:val="en-US"/>
        </w:rPr>
        <w:t>‘Public Private Partnerships in health; An understanding of PPPs in Primary Health Centre in Arunachal Pradesh’</w:t>
      </w:r>
      <w:r w:rsidR="006865F7">
        <w:rPr>
          <w:i/>
          <w:iCs/>
          <w:lang w:val="en-US"/>
        </w:rPr>
        <w:t xml:space="preserve">, </w:t>
      </w:r>
      <w:r w:rsidR="006865F7" w:rsidRPr="006865F7">
        <w:rPr>
          <w:lang w:val="en-US"/>
        </w:rPr>
        <w:t>available online at</w:t>
      </w:r>
      <w:r w:rsidR="006865F7">
        <w:rPr>
          <w:i/>
          <w:iCs/>
          <w:lang w:val="en-US"/>
        </w:rPr>
        <w:t xml:space="preserve"> </w:t>
      </w:r>
      <w:hyperlink r:id="rId41" w:history="1">
        <w:r w:rsidR="006865F7">
          <w:rPr>
            <w:rStyle w:val="Hyperlink"/>
          </w:rPr>
          <w:t>http://www.cehat.org/go/uploads/PPP/deepakmilipaper.pdf</w:t>
        </w:r>
      </w:hyperlink>
      <w:r w:rsidR="006865F7">
        <w:t xml:space="preserve"> accessed on 10.04.2011</w:t>
      </w:r>
    </w:p>
  </w:endnote>
  <w:endnote w:id="18">
    <w:p w:rsidR="005A3B5C" w:rsidRPr="005A3B5C" w:rsidRDefault="005A3B5C">
      <w:pPr>
        <w:pStyle w:val="EndnoteText"/>
        <w:rPr>
          <w:lang w:val="en-US"/>
        </w:rPr>
      </w:pPr>
      <w:r>
        <w:rPr>
          <w:rStyle w:val="EndnoteReference"/>
        </w:rPr>
        <w:endnoteRef/>
      </w:r>
      <w:r>
        <w:t xml:space="preserve"> </w:t>
      </w:r>
      <w:r>
        <w:rPr>
          <w:lang w:val="en-US"/>
        </w:rPr>
        <w:t>CBHI, 2009</w:t>
      </w:r>
      <w:r w:rsidR="00DA1E7A">
        <w:rPr>
          <w:lang w:val="en-US"/>
        </w:rPr>
        <w:t xml:space="preserve"> - </w:t>
      </w:r>
      <w:hyperlink r:id="rId42" w:history="1">
        <w:r w:rsidR="00DA1E7A">
          <w:rPr>
            <w:rStyle w:val="Hyperlink"/>
          </w:rPr>
          <w:t>http://www.hsprodindia.nic.in/retopt2.asp?SD=11&amp;SI=1&amp;ROT=2</w:t>
        </w:r>
      </w:hyperlink>
      <w:r w:rsidR="00DA1E7A">
        <w:t xml:space="preserve"> accessed on 10.04.2011</w:t>
      </w:r>
    </w:p>
  </w:endnote>
  <w:endnote w:id="19">
    <w:p w:rsidR="006164E6" w:rsidRPr="006164E6" w:rsidRDefault="006164E6">
      <w:pPr>
        <w:pStyle w:val="EndnoteText"/>
        <w:rPr>
          <w:lang w:val="en-US"/>
        </w:rPr>
      </w:pPr>
      <w:r>
        <w:rPr>
          <w:rStyle w:val="EndnoteReference"/>
        </w:rPr>
        <w:endnoteRef/>
      </w:r>
      <w:r>
        <w:t xml:space="preserve"> </w:t>
      </w:r>
      <w:proofErr w:type="gramStart"/>
      <w:r w:rsidR="00F83BCD">
        <w:rPr>
          <w:lang w:val="en-US"/>
        </w:rPr>
        <w:t>Sheikh</w:t>
      </w:r>
      <w:r>
        <w:rPr>
          <w:lang w:val="en-US"/>
        </w:rPr>
        <w:t>,</w:t>
      </w:r>
      <w:r w:rsidR="00F83BCD">
        <w:rPr>
          <w:lang w:val="en-US"/>
        </w:rPr>
        <w:t xml:space="preserve"> K Porter, J </w:t>
      </w:r>
      <w:proofErr w:type="spellStart"/>
      <w:r w:rsidR="00F83BCD">
        <w:rPr>
          <w:lang w:val="en-US"/>
        </w:rPr>
        <w:t>Kielman</w:t>
      </w:r>
      <w:proofErr w:type="spellEnd"/>
      <w:r w:rsidR="00F83BCD">
        <w:rPr>
          <w:lang w:val="en-US"/>
        </w:rPr>
        <w:t xml:space="preserve">, K &amp; </w:t>
      </w:r>
      <w:proofErr w:type="spellStart"/>
      <w:r w:rsidR="00F83BCD">
        <w:rPr>
          <w:lang w:val="en-US"/>
        </w:rPr>
        <w:t>Rangan</w:t>
      </w:r>
      <w:proofErr w:type="spellEnd"/>
      <w:r w:rsidR="00F83BCD">
        <w:rPr>
          <w:lang w:val="en-US"/>
        </w:rPr>
        <w:t>, S</w:t>
      </w:r>
      <w:r>
        <w:rPr>
          <w:lang w:val="en-US"/>
        </w:rPr>
        <w:t xml:space="preserve"> </w:t>
      </w:r>
      <w:r w:rsidR="00090BAF">
        <w:rPr>
          <w:lang w:val="en-US"/>
        </w:rPr>
        <w:t>(</w:t>
      </w:r>
      <w:r>
        <w:rPr>
          <w:lang w:val="en-US"/>
        </w:rPr>
        <w:t>2006</w:t>
      </w:r>
      <w:r w:rsidR="00090BAF">
        <w:rPr>
          <w:lang w:val="en-US"/>
        </w:rPr>
        <w:t>)</w:t>
      </w:r>
      <w:r w:rsidR="00F83BCD">
        <w:rPr>
          <w:lang w:val="en-US"/>
        </w:rPr>
        <w:t>.</w:t>
      </w:r>
      <w:proofErr w:type="gramEnd"/>
      <w:r w:rsidR="00F83BCD">
        <w:rPr>
          <w:lang w:val="en-US"/>
        </w:rPr>
        <w:t xml:space="preserve"> ‘Public-private partnerships for equity of access to care for Tuberculosis and HIV/AIDS: Lessons from </w:t>
      </w:r>
      <w:proofErr w:type="spellStart"/>
      <w:r w:rsidR="00F83BCD">
        <w:rPr>
          <w:lang w:val="en-US"/>
        </w:rPr>
        <w:t>Pune</w:t>
      </w:r>
      <w:proofErr w:type="spellEnd"/>
      <w:r w:rsidR="00F83BCD">
        <w:rPr>
          <w:lang w:val="en-US"/>
        </w:rPr>
        <w:t xml:space="preserve">, India’, </w:t>
      </w:r>
      <w:r w:rsidR="00A17703">
        <w:rPr>
          <w:lang w:val="en-US"/>
        </w:rPr>
        <w:t>Royal Society of Tropical Medicine and Hygiene (2006) 100, 312-320</w:t>
      </w:r>
    </w:p>
  </w:endnote>
  <w:endnote w:id="20">
    <w:p w:rsidR="006164E6" w:rsidRPr="0051608A" w:rsidRDefault="006164E6" w:rsidP="006164E6">
      <w:pPr>
        <w:pStyle w:val="EndnoteText"/>
        <w:rPr>
          <w:lang w:val="en-US"/>
        </w:rPr>
      </w:pPr>
      <w:r>
        <w:rPr>
          <w:rStyle w:val="EndnoteReference"/>
        </w:rPr>
        <w:endnoteRef/>
      </w:r>
      <w:r>
        <w:t xml:space="preserve"> </w:t>
      </w:r>
      <w:r>
        <w:rPr>
          <w:lang w:val="en-US"/>
        </w:rPr>
        <w:t xml:space="preserve">Floyd K et al, </w:t>
      </w:r>
      <w:r w:rsidR="00090BAF">
        <w:rPr>
          <w:lang w:val="en-US"/>
        </w:rPr>
        <w:t>(</w:t>
      </w:r>
      <w:r>
        <w:rPr>
          <w:lang w:val="en-US"/>
        </w:rPr>
        <w:t>2006</w:t>
      </w:r>
      <w:r w:rsidR="00090BAF">
        <w:rPr>
          <w:lang w:val="en-US"/>
        </w:rPr>
        <w:t>). ‘Cost and Cost effectiveness of PPM-DOTS for tuberculosis control: evidence from India’, Bulletin of World Health Organization 2006; 84:437-445</w:t>
      </w:r>
    </w:p>
  </w:endnote>
  <w:endnote w:id="21">
    <w:p w:rsidR="0051608A" w:rsidRPr="0051608A" w:rsidRDefault="00264A73" w:rsidP="0051608A">
      <w:pPr>
        <w:pStyle w:val="Default"/>
        <w:rPr>
          <w:rFonts w:asciiTheme="minorHAnsi" w:hAnsiTheme="minorHAnsi" w:cs="Times New Roman"/>
          <w:sz w:val="20"/>
          <w:szCs w:val="20"/>
        </w:rPr>
      </w:pPr>
      <w:r w:rsidRPr="0051608A">
        <w:rPr>
          <w:rStyle w:val="EndnoteReference"/>
          <w:rFonts w:asciiTheme="minorHAnsi" w:hAnsiTheme="minorHAnsi"/>
          <w:sz w:val="20"/>
          <w:szCs w:val="20"/>
        </w:rPr>
        <w:endnoteRef/>
      </w:r>
      <w:r w:rsidRPr="0051608A">
        <w:rPr>
          <w:rFonts w:asciiTheme="minorHAnsi" w:hAnsiTheme="minorHAnsi"/>
          <w:sz w:val="20"/>
          <w:szCs w:val="20"/>
        </w:rPr>
        <w:t xml:space="preserve"> </w:t>
      </w:r>
      <w:r w:rsidRPr="0051608A">
        <w:rPr>
          <w:rFonts w:asciiTheme="minorHAnsi" w:hAnsiTheme="minorHAnsi"/>
          <w:sz w:val="20"/>
          <w:szCs w:val="20"/>
          <w:lang w:val="en-US"/>
        </w:rPr>
        <w:t>Bloom</w:t>
      </w:r>
      <w:r w:rsidR="00170C80" w:rsidRPr="0051608A">
        <w:rPr>
          <w:rFonts w:asciiTheme="minorHAnsi" w:hAnsiTheme="minorHAnsi"/>
          <w:sz w:val="20"/>
          <w:szCs w:val="20"/>
          <w:lang w:val="en-US"/>
        </w:rPr>
        <w:t xml:space="preserve">, DE </w:t>
      </w:r>
      <w:proofErr w:type="spellStart"/>
      <w:r w:rsidR="00170C80" w:rsidRPr="0051608A">
        <w:rPr>
          <w:rFonts w:asciiTheme="minorHAnsi" w:hAnsiTheme="minorHAnsi"/>
          <w:sz w:val="20"/>
          <w:szCs w:val="20"/>
          <w:lang w:val="en-US"/>
        </w:rPr>
        <w:t>Mahal</w:t>
      </w:r>
      <w:proofErr w:type="spellEnd"/>
      <w:r w:rsidR="00170C80" w:rsidRPr="0051608A">
        <w:rPr>
          <w:rFonts w:asciiTheme="minorHAnsi" w:hAnsiTheme="minorHAnsi"/>
          <w:sz w:val="20"/>
          <w:szCs w:val="20"/>
          <w:lang w:val="en-US"/>
        </w:rPr>
        <w:t xml:space="preserve">, </w:t>
      </w:r>
      <w:proofErr w:type="gramStart"/>
      <w:r w:rsidR="00170C80" w:rsidRPr="0051608A">
        <w:rPr>
          <w:rFonts w:asciiTheme="minorHAnsi" w:hAnsiTheme="minorHAnsi"/>
          <w:sz w:val="20"/>
          <w:szCs w:val="20"/>
          <w:lang w:val="en-US"/>
        </w:rPr>
        <w:t>A</w:t>
      </w:r>
      <w:proofErr w:type="gramEnd"/>
      <w:r w:rsidR="00170C80" w:rsidRPr="0051608A">
        <w:rPr>
          <w:rFonts w:asciiTheme="minorHAnsi" w:hAnsiTheme="minorHAnsi"/>
          <w:sz w:val="20"/>
          <w:szCs w:val="20"/>
          <w:lang w:val="en-US"/>
        </w:rPr>
        <w:t xml:space="preserve"> Rosenberg L &amp; </w:t>
      </w:r>
      <w:proofErr w:type="spellStart"/>
      <w:r w:rsidR="00170C80" w:rsidRPr="0051608A">
        <w:rPr>
          <w:rFonts w:asciiTheme="minorHAnsi" w:hAnsiTheme="minorHAnsi"/>
          <w:sz w:val="20"/>
          <w:szCs w:val="20"/>
          <w:lang w:val="en-US"/>
        </w:rPr>
        <w:t>Sevilla</w:t>
      </w:r>
      <w:proofErr w:type="spellEnd"/>
      <w:r w:rsidR="00170C80" w:rsidRPr="0051608A">
        <w:rPr>
          <w:rFonts w:asciiTheme="minorHAnsi" w:hAnsiTheme="minorHAnsi"/>
          <w:sz w:val="20"/>
          <w:szCs w:val="20"/>
          <w:lang w:val="en-US"/>
        </w:rPr>
        <w:t>, J (</w:t>
      </w:r>
      <w:r w:rsidRPr="0051608A">
        <w:rPr>
          <w:rFonts w:asciiTheme="minorHAnsi" w:hAnsiTheme="minorHAnsi"/>
          <w:sz w:val="20"/>
          <w:szCs w:val="20"/>
          <w:lang w:val="en-US"/>
        </w:rPr>
        <w:t>2010</w:t>
      </w:r>
      <w:r w:rsidR="00170C80" w:rsidRPr="0051608A">
        <w:rPr>
          <w:rFonts w:asciiTheme="minorHAnsi" w:hAnsiTheme="minorHAnsi"/>
          <w:sz w:val="20"/>
          <w:szCs w:val="20"/>
          <w:lang w:val="en-US"/>
        </w:rPr>
        <w:t xml:space="preserve">). </w:t>
      </w:r>
      <w:r w:rsidR="00170C80" w:rsidRPr="0051608A">
        <w:rPr>
          <w:rFonts w:asciiTheme="minorHAnsi" w:hAnsiTheme="minorHAnsi"/>
          <w:i/>
          <w:iCs/>
          <w:sz w:val="20"/>
          <w:szCs w:val="20"/>
          <w:lang w:val="en-US"/>
        </w:rPr>
        <w:t>‘Economic Security Arrangements in the context of population ageing in India”</w:t>
      </w:r>
      <w:r w:rsidR="0051608A" w:rsidRPr="0051608A">
        <w:rPr>
          <w:rFonts w:asciiTheme="minorHAnsi" w:hAnsiTheme="minorHAnsi"/>
          <w:i/>
          <w:iCs/>
          <w:sz w:val="20"/>
          <w:szCs w:val="20"/>
          <w:lang w:val="en-US"/>
        </w:rPr>
        <w:t xml:space="preserve">; </w:t>
      </w:r>
      <w:r w:rsidR="0051608A" w:rsidRPr="0051608A">
        <w:rPr>
          <w:rFonts w:asciiTheme="minorHAnsi" w:hAnsiTheme="minorHAnsi"/>
          <w:sz w:val="20"/>
          <w:szCs w:val="20"/>
          <w:lang w:val="en-US"/>
        </w:rPr>
        <w:t xml:space="preserve">PGDA Working paper No. 60 available online at </w:t>
      </w:r>
    </w:p>
    <w:p w:rsidR="00264A73" w:rsidRPr="00264A73" w:rsidRDefault="0051608A" w:rsidP="0051608A">
      <w:pPr>
        <w:pStyle w:val="EndnoteText"/>
        <w:rPr>
          <w:lang w:val="en-US"/>
        </w:rPr>
      </w:pPr>
      <w:r w:rsidRPr="0051608A">
        <w:rPr>
          <w:rFonts w:cs="Times New Roman"/>
          <w:color w:val="000000"/>
          <w:lang w:bidi="hi-IN"/>
        </w:rPr>
        <w:t xml:space="preserve"> </w:t>
      </w:r>
      <w:hyperlink r:id="rId43" w:history="1">
        <w:r w:rsidRPr="00B65A96">
          <w:rPr>
            <w:rStyle w:val="Hyperlink"/>
            <w:rFonts w:cs="Times New Roman"/>
            <w:lang w:bidi="hi-IN"/>
          </w:rPr>
          <w:t>http://www.hsph.harvard.edu/pgda/working.htm</w:t>
        </w:r>
      </w:hyperlink>
      <w:r w:rsidRPr="0051608A">
        <w:rPr>
          <w:rFonts w:cs="Times New Roman"/>
          <w:color w:val="000000"/>
          <w:lang w:bidi="hi-IN"/>
        </w:rPr>
        <w:t xml:space="preserve"> accessed on </w:t>
      </w:r>
      <w:r>
        <w:rPr>
          <w:rFonts w:cs="Times New Roman"/>
          <w:color w:val="000000"/>
          <w:lang w:bidi="hi-IN"/>
        </w:rPr>
        <w:t>10.04.2011</w:t>
      </w:r>
    </w:p>
  </w:endnote>
  <w:endnote w:id="22">
    <w:p w:rsidR="00DA1E7A" w:rsidRPr="00DA1E7A" w:rsidRDefault="00DA1E7A">
      <w:pPr>
        <w:pStyle w:val="EndnoteText"/>
        <w:rPr>
          <w:lang w:val="en-US"/>
        </w:rPr>
      </w:pPr>
      <w:r>
        <w:rPr>
          <w:rStyle w:val="EndnoteReference"/>
        </w:rPr>
        <w:endnoteRef/>
      </w:r>
      <w:r>
        <w:t xml:space="preserve"> </w:t>
      </w:r>
      <w:r>
        <w:rPr>
          <w:lang w:val="en-US"/>
        </w:rPr>
        <w:t>Ibid</w:t>
      </w:r>
    </w:p>
  </w:endnote>
  <w:endnote w:id="23">
    <w:p w:rsidR="003F0E68" w:rsidRPr="004400A7" w:rsidRDefault="003F0E68" w:rsidP="003F0E68">
      <w:pPr>
        <w:pStyle w:val="EndnoteText"/>
        <w:rPr>
          <w:lang w:val="en-US"/>
        </w:rPr>
      </w:pPr>
      <w:r>
        <w:rPr>
          <w:rStyle w:val="EndnoteReference"/>
        </w:rPr>
        <w:endnoteRef/>
      </w:r>
      <w:r>
        <w:t xml:space="preserve"> </w:t>
      </w:r>
      <w:proofErr w:type="spellStart"/>
      <w:proofErr w:type="gramStart"/>
      <w:r w:rsidR="009A09AA">
        <w:rPr>
          <w:lang w:val="en-US"/>
        </w:rPr>
        <w:t>Muraleedharan</w:t>
      </w:r>
      <w:proofErr w:type="spellEnd"/>
      <w:r w:rsidR="009A09AA">
        <w:rPr>
          <w:lang w:val="en-US"/>
        </w:rPr>
        <w:t xml:space="preserve">, V &amp; </w:t>
      </w:r>
      <w:proofErr w:type="spellStart"/>
      <w:r w:rsidR="009A09AA">
        <w:rPr>
          <w:lang w:val="en-US"/>
        </w:rPr>
        <w:t>Nandraj</w:t>
      </w:r>
      <w:proofErr w:type="spellEnd"/>
      <w:r w:rsidR="009A09AA">
        <w:rPr>
          <w:lang w:val="en-US"/>
        </w:rPr>
        <w:t xml:space="preserve"> S</w:t>
      </w:r>
      <w:r w:rsidR="003E7C5D">
        <w:rPr>
          <w:lang w:val="en-US"/>
        </w:rPr>
        <w:t xml:space="preserve"> (2003).</w:t>
      </w:r>
      <w:proofErr w:type="gramEnd"/>
      <w:r w:rsidR="009A09AA">
        <w:rPr>
          <w:lang w:val="en-US"/>
        </w:rPr>
        <w:t xml:space="preserve"> ‘Private Health Care Sector in India – Policy challenges and options for partnership’ in Eds. </w:t>
      </w:r>
      <w:proofErr w:type="spellStart"/>
      <w:r w:rsidR="009A09AA">
        <w:rPr>
          <w:lang w:val="en-US"/>
        </w:rPr>
        <w:t>Yazbeck</w:t>
      </w:r>
      <w:proofErr w:type="spellEnd"/>
      <w:r w:rsidR="009A09AA">
        <w:rPr>
          <w:lang w:val="en-US"/>
        </w:rPr>
        <w:t xml:space="preserve">, A </w:t>
      </w:r>
      <w:proofErr w:type="gramStart"/>
      <w:r w:rsidR="009A09AA">
        <w:rPr>
          <w:lang w:val="en-US"/>
        </w:rPr>
        <w:t>&amp;  Peters</w:t>
      </w:r>
      <w:proofErr w:type="gramEnd"/>
      <w:r w:rsidR="009A09AA">
        <w:rPr>
          <w:lang w:val="en-US"/>
        </w:rPr>
        <w:t xml:space="preserve"> DH </w:t>
      </w:r>
      <w:r w:rsidR="009A09AA" w:rsidRPr="006B3CEC">
        <w:rPr>
          <w:i/>
          <w:iCs/>
          <w:lang w:val="en-US"/>
        </w:rPr>
        <w:t>“Health Policy Research in South Asia: Building capacity for reform”</w:t>
      </w:r>
      <w:r w:rsidR="009A09AA">
        <w:rPr>
          <w:lang w:val="en-US"/>
        </w:rPr>
        <w:t>, Ch 9, Volume 434. World Bank: Washington DC, pp 229-257</w:t>
      </w:r>
    </w:p>
  </w:endnote>
  <w:endnote w:id="24">
    <w:p w:rsidR="003F0E68" w:rsidRPr="004400A7" w:rsidRDefault="003F0E68" w:rsidP="003F0E68">
      <w:pPr>
        <w:pStyle w:val="EndnoteText"/>
        <w:rPr>
          <w:lang w:val="en-US"/>
        </w:rPr>
      </w:pPr>
      <w:r>
        <w:rPr>
          <w:rStyle w:val="EndnoteReference"/>
        </w:rPr>
        <w:endnoteRef/>
      </w:r>
      <w:r>
        <w:t xml:space="preserve"> </w:t>
      </w:r>
      <w:proofErr w:type="spellStart"/>
      <w:r>
        <w:rPr>
          <w:lang w:val="en-US"/>
        </w:rPr>
        <w:t>Ghosh</w:t>
      </w:r>
      <w:proofErr w:type="spellEnd"/>
      <w:r>
        <w:rPr>
          <w:lang w:val="en-US"/>
        </w:rPr>
        <w:t xml:space="preserve"> MD</w:t>
      </w:r>
      <w:r w:rsidR="008A1CF6">
        <w:rPr>
          <w:lang w:val="en-US"/>
        </w:rPr>
        <w:t xml:space="preserve"> (2008).</w:t>
      </w:r>
      <w:r>
        <w:rPr>
          <w:lang w:val="en-US"/>
        </w:rPr>
        <w:t xml:space="preserve"> </w:t>
      </w:r>
      <w:r w:rsidR="008A1CF6">
        <w:rPr>
          <w:lang w:val="en-US"/>
        </w:rPr>
        <w:t xml:space="preserve">‘Public Private partnership in health care’ </w:t>
      </w:r>
      <w:r>
        <w:rPr>
          <w:lang w:val="en-US"/>
        </w:rPr>
        <w:t xml:space="preserve">in </w:t>
      </w:r>
      <w:r w:rsidR="008A1CF6">
        <w:rPr>
          <w:lang w:val="en-US"/>
        </w:rPr>
        <w:t xml:space="preserve">Eds. </w:t>
      </w:r>
      <w:proofErr w:type="spellStart"/>
      <w:r>
        <w:rPr>
          <w:lang w:val="en-US"/>
        </w:rPr>
        <w:t>Ramani</w:t>
      </w:r>
      <w:proofErr w:type="spellEnd"/>
      <w:r>
        <w:rPr>
          <w:lang w:val="en-US"/>
        </w:rPr>
        <w:t>,</w:t>
      </w:r>
      <w:r w:rsidR="008A1CF6">
        <w:rPr>
          <w:lang w:val="en-US"/>
        </w:rPr>
        <w:t xml:space="preserve"> KV</w:t>
      </w:r>
      <w:r>
        <w:rPr>
          <w:lang w:val="en-US"/>
        </w:rPr>
        <w:t xml:space="preserve"> </w:t>
      </w:r>
      <w:proofErr w:type="spellStart"/>
      <w:r>
        <w:rPr>
          <w:lang w:val="en-US"/>
        </w:rPr>
        <w:t>Mavalankar</w:t>
      </w:r>
      <w:proofErr w:type="spellEnd"/>
      <w:r w:rsidR="008A1CF6">
        <w:rPr>
          <w:lang w:val="en-US"/>
        </w:rPr>
        <w:t>, D</w:t>
      </w:r>
      <w:r>
        <w:rPr>
          <w:lang w:val="en-US"/>
        </w:rPr>
        <w:t xml:space="preserve"> &amp; </w:t>
      </w:r>
      <w:proofErr w:type="spellStart"/>
      <w:r>
        <w:rPr>
          <w:lang w:val="en-US"/>
        </w:rPr>
        <w:t>Govil</w:t>
      </w:r>
      <w:proofErr w:type="spellEnd"/>
      <w:r w:rsidR="008A1CF6">
        <w:rPr>
          <w:lang w:val="en-US"/>
        </w:rPr>
        <w:t>, D. “Strategic Issues and Challenges in Health Management” Ch4: Sage: New Delhi</w:t>
      </w:r>
      <w:r w:rsidR="009A09AA">
        <w:rPr>
          <w:lang w:val="en-US"/>
        </w:rPr>
        <w:t>,</w:t>
      </w:r>
      <w:r w:rsidR="008A1CF6">
        <w:rPr>
          <w:lang w:val="en-US"/>
        </w:rPr>
        <w:t xml:space="preserve"> pp 42-51. </w:t>
      </w:r>
    </w:p>
  </w:endnote>
  <w:endnote w:id="25">
    <w:p w:rsidR="00340736" w:rsidRPr="00340736" w:rsidRDefault="00340736" w:rsidP="00340736">
      <w:pPr>
        <w:pStyle w:val="Default"/>
        <w:rPr>
          <w:rFonts w:asciiTheme="minorHAnsi" w:hAnsiTheme="minorHAnsi" w:cs="Times New Roman"/>
          <w:lang w:val="en-US"/>
        </w:rPr>
      </w:pPr>
      <w:r w:rsidRPr="00340736">
        <w:rPr>
          <w:rStyle w:val="EndnoteReference"/>
          <w:rFonts w:asciiTheme="minorHAnsi" w:hAnsiTheme="minorHAnsi" w:cs="Times New Roman"/>
          <w:sz w:val="20"/>
          <w:szCs w:val="20"/>
        </w:rPr>
        <w:endnoteRef/>
      </w:r>
      <w:r w:rsidRPr="00340736">
        <w:rPr>
          <w:rFonts w:asciiTheme="minorHAnsi" w:hAnsiTheme="minorHAnsi" w:cs="Times New Roman"/>
          <w:sz w:val="20"/>
          <w:szCs w:val="20"/>
        </w:rPr>
        <w:t xml:space="preserve"> </w:t>
      </w:r>
      <w:proofErr w:type="spellStart"/>
      <w:r w:rsidRPr="00340736">
        <w:rPr>
          <w:rFonts w:asciiTheme="minorHAnsi" w:hAnsiTheme="minorHAnsi" w:cs="Times New Roman"/>
          <w:sz w:val="20"/>
          <w:szCs w:val="20"/>
          <w:lang w:val="en-US"/>
        </w:rPr>
        <w:t>Shukla</w:t>
      </w:r>
      <w:proofErr w:type="spellEnd"/>
      <w:r w:rsidRPr="00340736">
        <w:rPr>
          <w:rFonts w:asciiTheme="minorHAnsi" w:hAnsiTheme="minorHAnsi" w:cs="Times New Roman"/>
          <w:sz w:val="20"/>
          <w:szCs w:val="20"/>
          <w:lang w:val="en-US"/>
        </w:rPr>
        <w:t xml:space="preserve"> A, 2010 ‘</w:t>
      </w:r>
      <w:r w:rsidRPr="00340736">
        <w:rPr>
          <w:rFonts w:asciiTheme="minorHAnsi" w:hAnsiTheme="minorHAnsi" w:cs="Times New Roman"/>
          <w:sz w:val="20"/>
          <w:szCs w:val="20"/>
        </w:rPr>
        <w:t xml:space="preserve">Fifteen actions which Health Policy makers </w:t>
      </w:r>
      <w:r>
        <w:rPr>
          <w:rFonts w:asciiTheme="minorHAnsi" w:hAnsiTheme="minorHAnsi" w:cs="Times New Roman"/>
          <w:sz w:val="20"/>
          <w:szCs w:val="20"/>
        </w:rPr>
        <w:t>c</w:t>
      </w:r>
      <w:r w:rsidRPr="00340736">
        <w:rPr>
          <w:rFonts w:asciiTheme="minorHAnsi" w:hAnsiTheme="minorHAnsi" w:cs="Times New Roman"/>
          <w:sz w:val="20"/>
          <w:szCs w:val="20"/>
        </w:rPr>
        <w:t>an and should take in the interests of the Indian people’</w:t>
      </w:r>
      <w:r>
        <w:rPr>
          <w:rFonts w:asciiTheme="minorHAnsi" w:hAnsiTheme="minorHAnsi" w:cs="Times New Roman"/>
          <w:sz w:val="20"/>
          <w:szCs w:val="20"/>
        </w:rPr>
        <w:t>, p.10</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dvP8E13">
    <w:panose1 w:val="00000000000000000000"/>
    <w:charset w:val="00"/>
    <w:family w:val="swiss"/>
    <w:notTrueType/>
    <w:pitch w:val="default"/>
    <w:sig w:usb0="00000003" w:usb1="00000000" w:usb2="00000000" w:usb3="00000000" w:csb0="00000001" w:csb1="00000000"/>
  </w:font>
  <w:font w:name="GillSans-Bold">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68C" w:rsidRDefault="005D068C" w:rsidP="006B626F">
      <w:pPr>
        <w:spacing w:after="0" w:line="240" w:lineRule="auto"/>
      </w:pPr>
      <w:r>
        <w:separator/>
      </w:r>
    </w:p>
  </w:footnote>
  <w:footnote w:type="continuationSeparator" w:id="0">
    <w:p w:rsidR="005D068C" w:rsidRDefault="005D068C" w:rsidP="006B62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A561C"/>
    <w:multiLevelType w:val="multilevel"/>
    <w:tmpl w:val="1864F588"/>
    <w:lvl w:ilvl="0">
      <w:start w:val="1"/>
      <w:numFmt w:val="decimal"/>
      <w:lvlText w:val="%1.0"/>
      <w:lvlJc w:val="left"/>
      <w:pPr>
        <w:ind w:left="915" w:hanging="915"/>
      </w:pPr>
      <w:rPr>
        <w:rFonts w:hint="default"/>
      </w:rPr>
    </w:lvl>
    <w:lvl w:ilvl="1">
      <w:start w:val="1"/>
      <w:numFmt w:val="decimal"/>
      <w:lvlText w:val="%1.%2"/>
      <w:lvlJc w:val="left"/>
      <w:pPr>
        <w:ind w:left="1635" w:hanging="915"/>
      </w:pPr>
      <w:rPr>
        <w:rFonts w:hint="default"/>
      </w:rPr>
    </w:lvl>
    <w:lvl w:ilvl="2">
      <w:start w:val="1"/>
      <w:numFmt w:val="decimal"/>
      <w:lvlText w:val="%1.%2.%3"/>
      <w:lvlJc w:val="left"/>
      <w:pPr>
        <w:ind w:left="2355" w:hanging="915"/>
      </w:pPr>
      <w:rPr>
        <w:rFonts w:hint="default"/>
      </w:rPr>
    </w:lvl>
    <w:lvl w:ilvl="3">
      <w:start w:val="1"/>
      <w:numFmt w:val="decimal"/>
      <w:lvlText w:val="%1.%2.%3.%4"/>
      <w:lvlJc w:val="left"/>
      <w:pPr>
        <w:ind w:left="3075" w:hanging="91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F76434"/>
    <w:rsid w:val="00004A02"/>
    <w:rsid w:val="00021372"/>
    <w:rsid w:val="00023A37"/>
    <w:rsid w:val="00037185"/>
    <w:rsid w:val="00053857"/>
    <w:rsid w:val="00063AE3"/>
    <w:rsid w:val="00064059"/>
    <w:rsid w:val="00080A37"/>
    <w:rsid w:val="00090BAF"/>
    <w:rsid w:val="00092DB0"/>
    <w:rsid w:val="000A2207"/>
    <w:rsid w:val="000A557F"/>
    <w:rsid w:val="000C04EF"/>
    <w:rsid w:val="000D2E64"/>
    <w:rsid w:val="000E5251"/>
    <w:rsid w:val="000E6C9D"/>
    <w:rsid w:val="0010319A"/>
    <w:rsid w:val="001055C1"/>
    <w:rsid w:val="00123A33"/>
    <w:rsid w:val="00134A62"/>
    <w:rsid w:val="00134B0C"/>
    <w:rsid w:val="00170C80"/>
    <w:rsid w:val="001737D4"/>
    <w:rsid w:val="00185AF5"/>
    <w:rsid w:val="001A50BB"/>
    <w:rsid w:val="001C1BD7"/>
    <w:rsid w:val="001F39BB"/>
    <w:rsid w:val="00201911"/>
    <w:rsid w:val="002317BE"/>
    <w:rsid w:val="00232482"/>
    <w:rsid w:val="00236CF6"/>
    <w:rsid w:val="0024638E"/>
    <w:rsid w:val="002508C5"/>
    <w:rsid w:val="00264A73"/>
    <w:rsid w:val="00264CAA"/>
    <w:rsid w:val="00275ED5"/>
    <w:rsid w:val="0028188E"/>
    <w:rsid w:val="002A0DD5"/>
    <w:rsid w:val="002A198A"/>
    <w:rsid w:val="002B2989"/>
    <w:rsid w:val="002B3E02"/>
    <w:rsid w:val="002C0ECD"/>
    <w:rsid w:val="002C66B3"/>
    <w:rsid w:val="002D1DD3"/>
    <w:rsid w:val="002E0956"/>
    <w:rsid w:val="00340736"/>
    <w:rsid w:val="003430CA"/>
    <w:rsid w:val="003520F4"/>
    <w:rsid w:val="00375315"/>
    <w:rsid w:val="003A1811"/>
    <w:rsid w:val="003A4440"/>
    <w:rsid w:val="003B3587"/>
    <w:rsid w:val="003D0BCA"/>
    <w:rsid w:val="003D2128"/>
    <w:rsid w:val="003D5E59"/>
    <w:rsid w:val="003E7C5D"/>
    <w:rsid w:val="003F0E68"/>
    <w:rsid w:val="00403B2A"/>
    <w:rsid w:val="004278E4"/>
    <w:rsid w:val="0043296E"/>
    <w:rsid w:val="00433B5C"/>
    <w:rsid w:val="00437358"/>
    <w:rsid w:val="004400A7"/>
    <w:rsid w:val="0044661C"/>
    <w:rsid w:val="00485451"/>
    <w:rsid w:val="004906C6"/>
    <w:rsid w:val="004A4F62"/>
    <w:rsid w:val="004B1DFD"/>
    <w:rsid w:val="004B7FB9"/>
    <w:rsid w:val="004E67AB"/>
    <w:rsid w:val="004F063A"/>
    <w:rsid w:val="0050412D"/>
    <w:rsid w:val="00506C9E"/>
    <w:rsid w:val="00514B82"/>
    <w:rsid w:val="0051608A"/>
    <w:rsid w:val="005262C3"/>
    <w:rsid w:val="00527102"/>
    <w:rsid w:val="00536FB7"/>
    <w:rsid w:val="00543788"/>
    <w:rsid w:val="00550480"/>
    <w:rsid w:val="005739B3"/>
    <w:rsid w:val="00574791"/>
    <w:rsid w:val="00576497"/>
    <w:rsid w:val="005971EB"/>
    <w:rsid w:val="005A3B5C"/>
    <w:rsid w:val="005C28D7"/>
    <w:rsid w:val="005C6D81"/>
    <w:rsid w:val="005D068C"/>
    <w:rsid w:val="005D7B21"/>
    <w:rsid w:val="005D7B9C"/>
    <w:rsid w:val="005E410A"/>
    <w:rsid w:val="0060018C"/>
    <w:rsid w:val="006077BB"/>
    <w:rsid w:val="006164E6"/>
    <w:rsid w:val="0063361A"/>
    <w:rsid w:val="0063390F"/>
    <w:rsid w:val="00637D1D"/>
    <w:rsid w:val="00675B95"/>
    <w:rsid w:val="006865F7"/>
    <w:rsid w:val="006970E3"/>
    <w:rsid w:val="00697E24"/>
    <w:rsid w:val="006B3CEC"/>
    <w:rsid w:val="006B626F"/>
    <w:rsid w:val="006C254E"/>
    <w:rsid w:val="006E11A3"/>
    <w:rsid w:val="006E5557"/>
    <w:rsid w:val="006F1A91"/>
    <w:rsid w:val="00701C38"/>
    <w:rsid w:val="00706BC9"/>
    <w:rsid w:val="007076D9"/>
    <w:rsid w:val="0072134C"/>
    <w:rsid w:val="007238CA"/>
    <w:rsid w:val="007411B6"/>
    <w:rsid w:val="00754984"/>
    <w:rsid w:val="00756CB6"/>
    <w:rsid w:val="007A3826"/>
    <w:rsid w:val="007A53FE"/>
    <w:rsid w:val="00800BC8"/>
    <w:rsid w:val="0080561A"/>
    <w:rsid w:val="00806B69"/>
    <w:rsid w:val="008151A8"/>
    <w:rsid w:val="008375AD"/>
    <w:rsid w:val="0084159E"/>
    <w:rsid w:val="00841AF3"/>
    <w:rsid w:val="00863A0C"/>
    <w:rsid w:val="00864ED7"/>
    <w:rsid w:val="0086789E"/>
    <w:rsid w:val="008703B1"/>
    <w:rsid w:val="00872039"/>
    <w:rsid w:val="00891F68"/>
    <w:rsid w:val="00897E1D"/>
    <w:rsid w:val="008A1CF6"/>
    <w:rsid w:val="008A2F17"/>
    <w:rsid w:val="008A6E5D"/>
    <w:rsid w:val="008B0217"/>
    <w:rsid w:val="008B2BE9"/>
    <w:rsid w:val="008C3F56"/>
    <w:rsid w:val="008D499A"/>
    <w:rsid w:val="008E1E9B"/>
    <w:rsid w:val="00906C07"/>
    <w:rsid w:val="009103A8"/>
    <w:rsid w:val="0092387B"/>
    <w:rsid w:val="009275F7"/>
    <w:rsid w:val="00957B9F"/>
    <w:rsid w:val="009710FD"/>
    <w:rsid w:val="00976769"/>
    <w:rsid w:val="00987239"/>
    <w:rsid w:val="009872B2"/>
    <w:rsid w:val="009A09AA"/>
    <w:rsid w:val="009B0473"/>
    <w:rsid w:val="009C4823"/>
    <w:rsid w:val="009D5369"/>
    <w:rsid w:val="009E6230"/>
    <w:rsid w:val="009E687E"/>
    <w:rsid w:val="009F3167"/>
    <w:rsid w:val="009F683E"/>
    <w:rsid w:val="00A04C9A"/>
    <w:rsid w:val="00A17703"/>
    <w:rsid w:val="00A274FC"/>
    <w:rsid w:val="00A3756C"/>
    <w:rsid w:val="00A4288A"/>
    <w:rsid w:val="00A74C6C"/>
    <w:rsid w:val="00A76C8B"/>
    <w:rsid w:val="00A83ED2"/>
    <w:rsid w:val="00AA1787"/>
    <w:rsid w:val="00AA4804"/>
    <w:rsid w:val="00AD085D"/>
    <w:rsid w:val="00AD124B"/>
    <w:rsid w:val="00AD46B1"/>
    <w:rsid w:val="00AF471A"/>
    <w:rsid w:val="00AF5417"/>
    <w:rsid w:val="00B07D30"/>
    <w:rsid w:val="00B21F76"/>
    <w:rsid w:val="00B27DAF"/>
    <w:rsid w:val="00B41E9C"/>
    <w:rsid w:val="00B46954"/>
    <w:rsid w:val="00B61B1E"/>
    <w:rsid w:val="00B80960"/>
    <w:rsid w:val="00BA1E8D"/>
    <w:rsid w:val="00BB2044"/>
    <w:rsid w:val="00BB6614"/>
    <w:rsid w:val="00BD0B68"/>
    <w:rsid w:val="00BD5EB9"/>
    <w:rsid w:val="00BE5401"/>
    <w:rsid w:val="00BF1015"/>
    <w:rsid w:val="00C020A9"/>
    <w:rsid w:val="00C24F5B"/>
    <w:rsid w:val="00C27C0E"/>
    <w:rsid w:val="00C53AC5"/>
    <w:rsid w:val="00C7523B"/>
    <w:rsid w:val="00C816D3"/>
    <w:rsid w:val="00CA1DEF"/>
    <w:rsid w:val="00CA5753"/>
    <w:rsid w:val="00CF2CB1"/>
    <w:rsid w:val="00CF509C"/>
    <w:rsid w:val="00CF5B83"/>
    <w:rsid w:val="00CF73C5"/>
    <w:rsid w:val="00D015F4"/>
    <w:rsid w:val="00D2421D"/>
    <w:rsid w:val="00D60936"/>
    <w:rsid w:val="00D63C62"/>
    <w:rsid w:val="00D65862"/>
    <w:rsid w:val="00D65B7C"/>
    <w:rsid w:val="00D7294F"/>
    <w:rsid w:val="00DA1E7A"/>
    <w:rsid w:val="00DA54E0"/>
    <w:rsid w:val="00DB7C19"/>
    <w:rsid w:val="00E16DD9"/>
    <w:rsid w:val="00E20F03"/>
    <w:rsid w:val="00E3117A"/>
    <w:rsid w:val="00E62D8C"/>
    <w:rsid w:val="00E741D1"/>
    <w:rsid w:val="00E86F33"/>
    <w:rsid w:val="00EA0146"/>
    <w:rsid w:val="00EA6951"/>
    <w:rsid w:val="00EB1DF3"/>
    <w:rsid w:val="00EC56FE"/>
    <w:rsid w:val="00EE3735"/>
    <w:rsid w:val="00EF55C5"/>
    <w:rsid w:val="00EF7C2D"/>
    <w:rsid w:val="00F03050"/>
    <w:rsid w:val="00F2683C"/>
    <w:rsid w:val="00F4724E"/>
    <w:rsid w:val="00F523DA"/>
    <w:rsid w:val="00F53539"/>
    <w:rsid w:val="00F73886"/>
    <w:rsid w:val="00F76434"/>
    <w:rsid w:val="00F83BCD"/>
    <w:rsid w:val="00F84849"/>
    <w:rsid w:val="00F96D12"/>
    <w:rsid w:val="00F97C87"/>
    <w:rsid w:val="00F97D66"/>
    <w:rsid w:val="00FD188C"/>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rules v:ext="edit">
        <o:r id="V:Rule5" type="connector" idref="#_x0000_s1055"/>
        <o:r id="V:Rule6" type="connector" idref="#_x0000_s1029"/>
        <o:r id="V:Rule7" type="connector" idref="#_x0000_s1063"/>
        <o:r id="V:Rule8"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8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0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semiHidden/>
    <w:rsid w:val="0060018C"/>
    <w:rPr>
      <w:rFonts w:ascii="Courier New" w:eastAsia="Times New Roman" w:hAnsi="Courier New" w:cs="Courier New"/>
      <w:sz w:val="20"/>
      <w:szCs w:val="20"/>
      <w:lang w:eastAsia="en-IN" w:bidi="hi-IN"/>
    </w:rPr>
  </w:style>
  <w:style w:type="paragraph" w:styleId="EndnoteText">
    <w:name w:val="endnote text"/>
    <w:basedOn w:val="Normal"/>
    <w:link w:val="EndnoteTextChar"/>
    <w:uiPriority w:val="99"/>
    <w:semiHidden/>
    <w:unhideWhenUsed/>
    <w:rsid w:val="006B62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626F"/>
    <w:rPr>
      <w:sz w:val="20"/>
      <w:szCs w:val="20"/>
    </w:rPr>
  </w:style>
  <w:style w:type="character" w:styleId="EndnoteReference">
    <w:name w:val="endnote reference"/>
    <w:basedOn w:val="DefaultParagraphFont"/>
    <w:uiPriority w:val="99"/>
    <w:semiHidden/>
    <w:unhideWhenUsed/>
    <w:rsid w:val="006B626F"/>
    <w:rPr>
      <w:vertAlign w:val="superscript"/>
    </w:rPr>
  </w:style>
  <w:style w:type="table" w:styleId="TableGrid">
    <w:name w:val="Table Grid"/>
    <w:basedOn w:val="TableNormal"/>
    <w:uiPriority w:val="59"/>
    <w:rsid w:val="000C04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7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2B2"/>
    <w:rPr>
      <w:rFonts w:ascii="Tahoma" w:hAnsi="Tahoma" w:cs="Tahoma"/>
      <w:sz w:val="16"/>
      <w:szCs w:val="16"/>
    </w:rPr>
  </w:style>
  <w:style w:type="character" w:styleId="Hyperlink">
    <w:name w:val="Hyperlink"/>
    <w:rsid w:val="0028188E"/>
    <w:rPr>
      <w:color w:val="000080"/>
      <w:u w:val="single"/>
    </w:rPr>
  </w:style>
  <w:style w:type="paragraph" w:customStyle="1" w:styleId="Style-4">
    <w:name w:val="Style-4"/>
    <w:rsid w:val="0028188E"/>
    <w:pPr>
      <w:suppressAutoHyphens/>
      <w:spacing w:after="0" w:line="240" w:lineRule="auto"/>
    </w:pPr>
    <w:rPr>
      <w:rFonts w:ascii="Times New Roman" w:eastAsia="Arial" w:hAnsi="Times New Roman" w:cs="Mangal"/>
      <w:sz w:val="20"/>
      <w:szCs w:val="20"/>
      <w:lang w:val="en-GB" w:bidi="hi-IN"/>
    </w:rPr>
  </w:style>
  <w:style w:type="paragraph" w:customStyle="1" w:styleId="Default">
    <w:name w:val="Default"/>
    <w:rsid w:val="00340736"/>
    <w:pPr>
      <w:autoSpaceDE w:val="0"/>
      <w:autoSpaceDN w:val="0"/>
      <w:adjustRightInd w:val="0"/>
      <w:spacing w:after="0" w:line="240" w:lineRule="auto"/>
    </w:pPr>
    <w:rPr>
      <w:rFonts w:ascii="Bookman Old Style" w:hAnsi="Bookman Old Style" w:cs="Bookman Old Style"/>
      <w:color w:val="000000"/>
      <w:sz w:val="24"/>
      <w:szCs w:val="24"/>
      <w:lang w:bidi="hi-IN"/>
    </w:rPr>
  </w:style>
  <w:style w:type="character" w:styleId="FollowedHyperlink">
    <w:name w:val="FollowedHyperlink"/>
    <w:basedOn w:val="DefaultParagraphFont"/>
    <w:uiPriority w:val="99"/>
    <w:semiHidden/>
    <w:unhideWhenUsed/>
    <w:rsid w:val="004906C6"/>
    <w:rPr>
      <w:color w:val="800080" w:themeColor="followedHyperlink"/>
      <w:u w:val="single"/>
    </w:rPr>
  </w:style>
  <w:style w:type="character" w:customStyle="1" w:styleId="A0">
    <w:name w:val="A0"/>
    <w:uiPriority w:val="99"/>
    <w:rsid w:val="004A4F62"/>
    <w:rPr>
      <w:rFonts w:cs="Times New Roman"/>
      <w:color w:val="000000"/>
    </w:rPr>
  </w:style>
  <w:style w:type="character" w:customStyle="1" w:styleId="A2">
    <w:name w:val="A2"/>
    <w:uiPriority w:val="99"/>
    <w:rsid w:val="00800BC8"/>
    <w:rPr>
      <w:rFonts w:cs="Times New Roman"/>
      <w:color w:val="000000"/>
    </w:rPr>
  </w:style>
  <w:style w:type="paragraph" w:styleId="ListParagraph">
    <w:name w:val="List Paragraph"/>
    <w:basedOn w:val="Normal"/>
    <w:uiPriority w:val="34"/>
    <w:qFormat/>
    <w:rsid w:val="009B0473"/>
    <w:pPr>
      <w:ind w:left="720"/>
      <w:contextualSpacing/>
    </w:pPr>
  </w:style>
  <w:style w:type="character" w:customStyle="1" w:styleId="apple-style-span">
    <w:name w:val="apple-style-span"/>
    <w:basedOn w:val="DefaultParagraphFont"/>
    <w:rsid w:val="00756CB6"/>
  </w:style>
</w:styles>
</file>

<file path=word/webSettings.xml><?xml version="1.0" encoding="utf-8"?>
<w:webSettings xmlns:r="http://schemas.openxmlformats.org/officeDocument/2006/relationships" xmlns:w="http://schemas.openxmlformats.org/wordprocessingml/2006/main">
  <w:divs>
    <w:div w:id="4134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_rels/endnotes.xml.rels><?xml version="1.0" encoding="UTF-8" standalone="yes"?>
<Relationships xmlns="http://schemas.openxmlformats.org/package/2006/relationships"><Relationship Id="rId8"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3"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8"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6"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9"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1"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4"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42" Type="http://schemas.openxmlformats.org/officeDocument/2006/relationships/hyperlink" Target="http://www.hsprodindia.nic.in/retopt2.asp?SD=11&amp;SI=1&amp;ROT=2" TargetMode="External"/><Relationship Id="rId7"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2"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7"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5"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3"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8"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6"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0"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9"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41" Type="http://schemas.openxmlformats.org/officeDocument/2006/relationships/hyperlink" Target="http://www.cehat.org/go/uploads/PPP/deepakmilipaper.pdf" TargetMode="External"/><Relationship Id="rId1"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6"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1"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4"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2"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7"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40" Type="http://schemas.openxmlformats.org/officeDocument/2006/relationships/hyperlink" Target="http://www.hindu.com/2010/08/24/stories/2010082456771000.htm" TargetMode="External"/><Relationship Id="rId5"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5"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3"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8"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6"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0"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9"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1"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4"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9"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14"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2"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27"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0"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35" Type="http://schemas.openxmlformats.org/officeDocument/2006/relationships/hyperlink" Target="http://www.google.com/url?q=http%3A%2F%2Fwww.delhi.gov.in%2Fwps%2Fwcm%2Fconnect%2F3cd0a5004d9238eeaa5eaf09e0ee946a%2Fguidelines.pdf%3FMOD%3DAJPERES&amp;sa=D&amp;sntz=1&amp;usg=AFQjCNEfb5MYU41kf06abaCeakJpvqd35A" TargetMode="External"/><Relationship Id="rId43" Type="http://schemas.openxmlformats.org/officeDocument/2006/relationships/hyperlink" Target="http://www.hsph.harvard.edu/pgda/work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1458</TotalTime>
  <Pages>7</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Prasanna Saligram</dc:creator>
  <cp:lastModifiedBy>Prasanna Saligram</cp:lastModifiedBy>
  <cp:revision>187</cp:revision>
  <dcterms:created xsi:type="dcterms:W3CDTF">2011-04-08T07:34:00Z</dcterms:created>
  <dcterms:modified xsi:type="dcterms:W3CDTF">2011-04-11T08:03:00Z</dcterms:modified>
</cp:coreProperties>
</file>